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rPr>
          <w:rFonts w:hint="eastAsia" w:ascii="宋体" w:hAnsi="宋体" w:cs="宋体"/>
          <w:b/>
          <w:bCs/>
          <w:sz w:val="44"/>
          <w:szCs w:val="44"/>
          <w:highlight w:val="none"/>
        </w:rPr>
      </w:pPr>
      <w:r>
        <w:rPr>
          <w:rFonts w:hint="eastAsia" w:ascii="宋体" w:hAnsi="宋体" w:cs="宋体"/>
          <w:b/>
          <w:bCs/>
          <w:sz w:val="44"/>
          <w:szCs w:val="44"/>
          <w:highlight w:val="none"/>
        </w:rPr>
        <w:t xml:space="preserve">政府采购</w:t>
      </w:r>
      <w:r/>
    </w:p>
    <w:p>
      <w:pPr>
        <w:jc w:val="center"/>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ind w:firstLine="643"/>
        <w:jc w:val="left"/>
        <w:spacing w:before="120" w:after="120" w:line="360" w:lineRule="auto"/>
        <w:rPr>
          <w:rFonts w:hint="eastAsia" w:ascii="Times New Roman" w:hAnsi="Times New Roman" w:eastAsia="宋体" w:cs="Times New Roman"/>
          <w:b/>
          <w:bCs/>
          <w:color w:val="auto"/>
          <w:sz w:val="32"/>
          <w:szCs w:val="24"/>
          <w:highlight w:val="none"/>
          <w:u w:val="single"/>
        </w:rPr>
      </w:pPr>
      <w:r>
        <w:rPr>
          <w:rFonts w:hint="eastAsia"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u w:val="single"/>
        </w:rPr>
        <w:t xml:space="preserve">宿迁市市控水质自动监测站运行维护项目</w:t>
      </w:r>
      <w:r/>
    </w:p>
    <w:p>
      <w:pPr>
        <w:ind w:firstLine="643"/>
        <w:jc w:val="left"/>
        <w:spacing w:before="120" w:after="120" w:line="360" w:lineRule="auto"/>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项目编号：JSZC-321300-TYJT-C2026</w:t>
      </w:r>
      <w:r>
        <w:rPr>
          <w:rFonts w:hint="eastAsia"/>
          <w:b/>
          <w:bCs/>
          <w:color w:val="auto"/>
          <w:sz w:val="32"/>
          <w:szCs w:val="24"/>
          <w:highlight w:val="none"/>
          <w:lang w:eastAsia="zh-CN"/>
        </w:rPr>
        <w:t xml:space="preserve">-0004</w:t>
      </w:r>
      <w:r>
        <w:rPr>
          <w:rFonts w:ascii="Times New Roman" w:hAnsi="Times New Roman"/>
          <w:b/>
          <w:bCs/>
          <w:color w:val="auto"/>
          <w:sz w:val="32"/>
          <w:szCs w:val="24"/>
          <w:highlight w:val="none"/>
        </w:rPr>
        <w:t xml:space="preserve">      </w:t>
      </w:r>
      <w:r/>
    </w:p>
    <w:p>
      <w:pPr>
        <w:ind w:firstLine="1606"/>
        <w:jc w:val="left"/>
        <w:spacing w:before="120" w:after="120" w:line="360" w:lineRule="auto"/>
        <w:rPr>
          <w:rFonts w:hint="eastAsia" w:ascii="Times New Roman" w:hAnsi="Times New Roman"/>
          <w:b/>
          <w:color w:val="auto"/>
          <w:sz w:val="30"/>
          <w:szCs w:val="30"/>
          <w:highlight w:val="none"/>
        </w:rPr>
      </w:pPr>
      <w:r>
        <w:rPr>
          <w:rFonts w:hint="eastAsia" w:ascii="Times New Roman" w:hAnsi="Times New Roman"/>
          <w:b/>
          <w:bCs/>
          <w:color w:val="auto"/>
          <w:sz w:val="32"/>
          <w:szCs w:val="24"/>
          <w:highlight w:val="none"/>
        </w:rPr>
        <w:t xml:space="preserve">（</w:t>
      </w:r>
      <w:r>
        <w:rPr>
          <w:rFonts w:hint="eastAsia" w:ascii="Times New Roman" w:hAnsi="Times New Roman"/>
          <w:b/>
          <w:bCs/>
          <w:color w:val="auto"/>
          <w:sz w:val="32"/>
          <w:szCs w:val="24"/>
          <w:highlight w:val="none"/>
          <w:u w:val="single"/>
          <w:lang w:val="en-US" w:eastAsia="zh-CN"/>
        </w:rPr>
        <w:t xml:space="preserve">服务</w:t>
      </w:r>
      <w:r>
        <w:rPr>
          <w:rFonts w:hint="eastAsia" w:ascii="Times New Roman" w:hAnsi="Times New Roman"/>
          <w:b/>
          <w:bCs/>
          <w:color w:val="auto"/>
          <w:sz w:val="32"/>
          <w:szCs w:val="24"/>
          <w:highlight w:val="none"/>
        </w:rPr>
        <w:t xml:space="preserve">类项目</w:t>
      </w:r>
      <w:r>
        <w:rPr>
          <w:rFonts w:hint="eastAsia" w:ascii="Times New Roman" w:hAnsi="Times New Roman"/>
          <w:b/>
          <w:bCs/>
          <w:color w:val="auto"/>
          <w:sz w:val="32"/>
          <w:szCs w:val="24"/>
          <w:highlight w:val="none"/>
          <w:lang w:eastAsia="zh-CN"/>
        </w:rPr>
        <w:t xml:space="preserve">，</w:t>
      </w:r>
      <w:r>
        <w:rPr>
          <w:rFonts w:hint="eastAsia" w:ascii="Times New Roman" w:hAnsi="Times New Roman"/>
          <w:b/>
          <w:bCs/>
          <w:color w:val="auto"/>
          <w:sz w:val="32"/>
          <w:szCs w:val="24"/>
          <w:highlight w:val="none"/>
          <w:u w:val="none"/>
          <w:lang w:val="en-US" w:eastAsia="zh-CN"/>
        </w:rPr>
        <w:t xml:space="preserve">本项目</w:t>
      </w:r>
      <w:r>
        <w:rPr>
          <w:rFonts w:hint="eastAsia" w:ascii="Times New Roman" w:hAnsi="Times New Roman"/>
          <w:b/>
          <w:bCs/>
          <w:color w:val="auto"/>
          <w:sz w:val="32"/>
          <w:szCs w:val="24"/>
          <w:highlight w:val="none"/>
        </w:rPr>
        <w:t xml:space="preserve">专门面向中小企业）</w:t>
      </w: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48"/>
        <w:ind w:firstLine="1690"/>
        <w:jc w:val="both"/>
        <w:rPr>
          <w:rFonts w:hint="default" w:ascii="Times New Roman" w:hAnsi="Times New Roman" w:eastAsia="宋体" w:cs="Times New Roman"/>
          <w:b/>
          <w:bCs/>
          <w:color w:val="auto"/>
          <w:sz w:val="32"/>
          <w:highlight w:val="none"/>
          <w:u w:val="single"/>
          <w:lang w:val="en-US" w:eastAsia="zh-CN"/>
        </w:rPr>
      </w:pPr>
      <w:r>
        <w:rPr>
          <w:rFonts w:hint="eastAsia" w:ascii="Times New Roman" w:hAnsi="Times New Roman" w:eastAsia="宋体" w:cs="Times New Roman"/>
          <w:b/>
          <w:bCs/>
          <w:color w:val="auto"/>
          <w:sz w:val="32"/>
          <w:highlight w:val="none"/>
          <w:lang w:val="en-US" w:eastAsia="zh-CN"/>
        </w:rPr>
        <w:t xml:space="preserve">采购人：</w:t>
      </w:r>
      <w:r>
        <w:rPr>
          <w:rFonts w:hint="eastAsia" w:ascii="Times New Roman" w:hAnsi="Times New Roman" w:eastAsia="宋体" w:cs="Times New Roman"/>
          <w:b/>
          <w:bCs/>
          <w:color w:val="auto"/>
          <w:sz w:val="32"/>
          <w:highlight w:val="none"/>
          <w:u w:val="single"/>
          <w:lang w:val="en-US" w:eastAsia="zh-CN"/>
        </w:rPr>
        <w:t xml:space="preserve">宿迁市生态环境监测监控服务中心</w:t>
      </w:r>
      <w:r/>
    </w:p>
    <w:p>
      <w:pPr>
        <w:pStyle w:val="1048"/>
        <w:ind w:firstLine="1606"/>
        <w:jc w:val="both"/>
        <w:rPr>
          <w:rFonts w:hint="default" w:ascii="Times New Roman" w:hAnsi="Times New Roman" w:eastAsia="宋体" w:cs="Times New Roman"/>
          <w:b/>
          <w:bCs/>
          <w:color w:val="auto"/>
          <w:sz w:val="32"/>
          <w:highlight w:val="none"/>
          <w:u w:val="none"/>
          <w:lang w:val="en-US" w:eastAsia="zh-CN"/>
        </w:rPr>
      </w:pPr>
      <w:r>
        <w:rPr>
          <w:rFonts w:hint="eastAsia" w:ascii="Times New Roman" w:hAnsi="Times New Roman" w:eastAsia="宋体" w:cs="Times New Roman"/>
          <w:b/>
          <w:bCs/>
          <w:color w:val="auto"/>
          <w:sz w:val="32"/>
          <w:highlight w:val="none"/>
          <w:lang w:val="en-US" w:eastAsia="zh-CN"/>
        </w:rPr>
        <w:t xml:space="preserve">采购代理机构：</w:t>
      </w:r>
      <w:r>
        <w:rPr>
          <w:rFonts w:hint="eastAsia" w:ascii="Times New Roman" w:hAnsi="Times New Roman" w:eastAsia="宋体" w:cs="Times New Roman"/>
          <w:b/>
          <w:bCs/>
          <w:color w:val="auto"/>
          <w:sz w:val="32"/>
          <w:highlight w:val="none"/>
          <w:u w:val="single"/>
          <w:lang w:val="en-US" w:eastAsia="zh-CN"/>
        </w:rPr>
        <w:t xml:space="preserve">江苏天园项目管理集团有限公司</w:t>
      </w:r>
      <w:r/>
    </w:p>
    <w:p>
      <w:pPr>
        <w:pStyle w:val="1048"/>
        <w:ind w:firstLine="2570"/>
        <w:jc w:val="both"/>
        <w:rPr>
          <w:rFonts w:hint="eastAsia" w:ascii="Times New Roman" w:hAnsi="Times New Roman"/>
          <w:b/>
          <w:bCs/>
          <w:color w:val="auto"/>
          <w:sz w:val="32"/>
          <w:highlight w:val="none"/>
        </w:rPr>
      </w:pPr>
      <w:r>
        <w:rPr>
          <w:rFonts w:hint="eastAsia" w:ascii="Times New Roman" w:hAnsi="Times New Roman"/>
          <w:b/>
          <w:bCs/>
          <w:color w:val="auto"/>
          <w:sz w:val="32"/>
          <w:highlight w:val="none"/>
          <w:u w:val="single"/>
          <w:lang w:val="en-US" w:eastAsia="zh-CN"/>
        </w:rPr>
        <w:t xml:space="preserve">2026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u w:val="single"/>
          <w:lang w:val="en-US" w:eastAsia="zh-CN"/>
        </w:rPr>
        <w:t xml:space="preserve">04</w:t>
      </w:r>
      <w:r>
        <w:rPr>
          <w:rFonts w:hint="eastAsia" w:ascii="Times New Roman" w:hAnsi="Times New Roman"/>
          <w:b/>
          <w:bCs/>
          <w:color w:val="auto"/>
          <w:sz w:val="32"/>
          <w:highlight w:val="none"/>
          <w:u w:val="none"/>
          <w:lang w:val="en-US" w:eastAsia="zh-CN"/>
        </w:rPr>
        <w:t xml:space="preserve">月</w:t>
      </w:r>
      <w:r>
        <w:rPr>
          <w:rFonts w:hint="eastAsia" w:ascii="Times New Roman" w:hAnsi="Times New Roman"/>
          <w:b/>
          <w:bCs/>
          <w:color w:val="auto"/>
          <w:sz w:val="32"/>
          <w:highlight w:val="none"/>
          <w:u w:val="single"/>
          <w:lang w:val="en-US" w:eastAsia="zh-CN"/>
        </w:rPr>
        <w:t xml:space="preserve">16</w:t>
      </w:r>
      <w:r>
        <w:rPr>
          <w:rFonts w:hint="eastAsia" w:ascii="Times New Roman" w:hAnsi="Times New Roman"/>
          <w:b/>
          <w:bCs/>
          <w:color w:val="auto"/>
          <w:sz w:val="32"/>
          <w:highlight w:val="none"/>
        </w:rPr>
        <w:t xml:space="preserve">日</w:t>
      </w:r>
      <w:r/>
    </w:p>
    <w:p>
      <w:pPr>
        <w:jc w:val="center"/>
        <w:rPr>
          <w:rFonts w:hint="eastAsia" w:ascii="宋体" w:hAnsi="宋体" w:cs="宋体"/>
          <w:b/>
          <w:bCs/>
          <w:sz w:val="44"/>
          <w:szCs w:val="44"/>
          <w:highlight w:val="none"/>
        </w:rPr>
      </w:pPr>
      <w:r>
        <w:rPr>
          <w:rFonts w:hint="eastAsia" w:ascii="宋体" w:hAnsi="宋体" w:cs="宋体"/>
          <w:sz w:val="24"/>
          <w:szCs w:val="24"/>
          <w:highlight w:val="none"/>
        </w:rPr>
        <w:t xml:space="preserve">      </w:t>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宋体" w:hAnsi="宋体" w:cs="宋体"/>
          <w:b/>
          <w:bCs/>
          <w:sz w:val="44"/>
          <w:szCs w:val="44"/>
          <w:highlight w:val="none"/>
        </w:rPr>
        <w:t xml:space="preserve">总目录</w:t>
      </w:r>
      <w:r/>
    </w:p>
    <w:p>
      <w:pPr>
        <w:pStyle w:val="759"/>
        <w:tabs>
          <w:tab w:val="right" w:pos="8953" w:leader="dot"/>
        </w:tabs>
        <w:rPr>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TOC \o "1-2" \h \u </w:instrText>
      </w:r>
      <w:r>
        <w:rPr>
          <w:rFonts w:hint="eastAsia" w:ascii="宋体" w:hAnsi="宋体" w:cs="宋体"/>
          <w:szCs w:val="21"/>
          <w:highlight w:val="none"/>
        </w:rPr>
        <w:fldChar w:fldCharType="separate"/>
      </w:r>
      <w:r>
        <w:rPr>
          <w:highlight w:val="none"/>
        </w:rPr>
        <w:fldChar w:fldCharType="begin"/>
      </w:r>
      <w:r>
        <w:rPr>
          <w:highlight w:val="none"/>
        </w:rPr>
        <w:instrText xml:space="preserve"> HYPERLINK \l "_Toc30443" </w:instrText>
      </w:r>
      <w:r>
        <w:rPr>
          <w:highlight w:val="none"/>
        </w:rPr>
        <w:fldChar w:fldCharType="separate"/>
      </w:r>
      <w:r>
        <w:rPr>
          <w:rFonts w:hint="eastAsia" w:ascii="宋体" w:hAnsi="宋体" w:cs="宋体"/>
          <w:bCs/>
          <w:szCs w:val="44"/>
          <w:highlight w:val="none"/>
        </w:rPr>
        <w:t xml:space="preserve">第一章  磋商邀请</w:t>
      </w:r>
      <w:r>
        <w:rPr>
          <w:highlight w:val="none"/>
        </w:rPr>
        <w:tab/>
      </w:r>
      <w:r>
        <w:rPr>
          <w:highlight w:val="none"/>
        </w:rPr>
        <w:fldChar w:fldCharType="begin"/>
      </w:r>
      <w:r>
        <w:rPr>
          <w:highlight w:val="none"/>
        </w:rPr>
        <w:instrText xml:space="preserve"> PAGEREF _Toc30443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759"/>
        <w:tabs>
          <w:tab w:val="right" w:pos="8953" w:leader="dot"/>
        </w:tabs>
        <w:rPr>
          <w:highlight w:val="none"/>
        </w:rPr>
      </w:pPr>
      <w:r>
        <w:rPr>
          <w:highlight w:val="none"/>
        </w:rPr>
        <w:fldChar w:fldCharType="begin"/>
      </w:r>
      <w:r>
        <w:rPr>
          <w:highlight w:val="none"/>
        </w:rPr>
        <w:instrText xml:space="preserve"> HYPERLINK \l "_Toc9874" </w:instrText>
      </w:r>
      <w:r>
        <w:rPr>
          <w:highlight w:val="none"/>
        </w:rPr>
        <w:fldChar w:fldCharType="separate"/>
      </w:r>
      <w:r>
        <w:rPr>
          <w:rFonts w:hint="eastAsia" w:ascii="宋体" w:hAnsi="宋体" w:cs="宋体"/>
          <w:bCs/>
          <w:szCs w:val="44"/>
          <w:highlight w:val="none"/>
        </w:rPr>
        <w:t xml:space="preserve">第二章  供应商须知</w:t>
      </w:r>
      <w:r>
        <w:rPr>
          <w:highlight w:val="none"/>
        </w:rPr>
        <w:tab/>
      </w:r>
      <w:r>
        <w:rPr>
          <w:highlight w:val="none"/>
        </w:rPr>
        <w:fldChar w:fldCharType="begin"/>
      </w:r>
      <w:r>
        <w:rPr>
          <w:highlight w:val="none"/>
        </w:rPr>
        <w:instrText xml:space="preserve"> PAGEREF _Toc9874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"_Toc6683" </w:instrText>
      </w:r>
      <w:r>
        <w:rPr>
          <w:highlight w:val="none"/>
        </w:rPr>
        <w:fldChar w:fldCharType="separate"/>
      </w:r>
      <w:r>
        <w:rPr>
          <w:rFonts w:hint="eastAsia" w:ascii="宋体" w:hAnsi="宋体" w:cs="宋体"/>
          <w:bCs/>
          <w:szCs w:val="24"/>
          <w:highlight w:val="none"/>
        </w:rPr>
        <w:t xml:space="preserve">一、总则</w:t>
      </w:r>
      <w:r>
        <w:rPr>
          <w:highlight w:val="none"/>
        </w:rPr>
        <w:tab/>
      </w:r>
      <w:r>
        <w:rPr>
          <w:highlight w:val="none"/>
        </w:rPr>
        <w:fldChar w:fldCharType="begin"/>
      </w:r>
      <w:r>
        <w:rPr>
          <w:highlight w:val="none"/>
        </w:rPr>
        <w:instrText xml:space="preserve"> PAGEREF _Toc6683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"_Toc24368" </w:instrText>
      </w:r>
      <w:r>
        <w:rPr>
          <w:highlight w:val="none"/>
        </w:rPr>
        <w:fldChar w:fldCharType="separate"/>
      </w:r>
      <w:r>
        <w:rPr>
          <w:rFonts w:hint="eastAsia" w:ascii="宋体" w:hAnsi="宋体" w:cs="宋体"/>
          <w:bCs/>
          <w:szCs w:val="24"/>
          <w:highlight w:val="none"/>
        </w:rPr>
        <w:t xml:space="preserve">二、磋商文件</w:t>
      </w:r>
      <w:r>
        <w:rPr>
          <w:highlight w:val="none"/>
        </w:rPr>
        <w:tab/>
      </w:r>
      <w:r>
        <w:rPr>
          <w:highlight w:val="none"/>
        </w:rPr>
        <w:fldChar w:fldCharType="begin"/>
      </w:r>
      <w:r>
        <w:rPr>
          <w:highlight w:val="none"/>
        </w:rPr>
        <w:instrText xml:space="preserve"> PAGEREF _Toc24368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"_Toc31570" </w:instrText>
      </w:r>
      <w:r>
        <w:rPr>
          <w:highlight w:val="none"/>
        </w:rPr>
        <w:fldChar w:fldCharType="separate"/>
      </w:r>
      <w:r>
        <w:rPr>
          <w:rFonts w:hint="eastAsia" w:ascii="宋体" w:hAnsi="宋体" w:cs="宋体"/>
          <w:bCs/>
          <w:szCs w:val="24"/>
          <w:highlight w:val="none"/>
        </w:rPr>
        <w:t xml:space="preserve">三、响应文件的编制</w:t>
      </w:r>
      <w:r>
        <w:rPr>
          <w:highlight w:val="none"/>
        </w:rPr>
        <w:tab/>
      </w:r>
      <w:r>
        <w:rPr>
          <w:highlight w:val="none"/>
        </w:rPr>
        <w:fldChar w:fldCharType="begin"/>
      </w:r>
      <w:r>
        <w:rPr>
          <w:highlight w:val="none"/>
        </w:rPr>
        <w:instrText xml:space="preserve"> PAGEREF _Toc31570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"_Toc17786" </w:instrText>
      </w:r>
      <w:r>
        <w:rPr>
          <w:highlight w:val="none"/>
        </w:rPr>
        <w:fldChar w:fldCharType="separate"/>
      </w:r>
      <w:r>
        <w:rPr>
          <w:rFonts w:hint="eastAsia" w:ascii="宋体" w:hAnsi="宋体" w:cs="宋体"/>
          <w:bCs/>
          <w:szCs w:val="24"/>
          <w:highlight w:val="none"/>
        </w:rPr>
        <w:t xml:space="preserve">四、响应文件的递交</w:t>
      </w:r>
      <w:r>
        <w:rPr>
          <w:highlight w:val="none"/>
        </w:rPr>
        <w:tab/>
      </w:r>
      <w:r>
        <w:rPr>
          <w:highlight w:val="none"/>
        </w:rPr>
        <w:fldChar w:fldCharType="begin"/>
      </w:r>
      <w:r>
        <w:rPr>
          <w:highlight w:val="none"/>
        </w:rPr>
        <w:instrText xml:space="preserve"> PAGEREF _Toc17786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"_Toc10568" </w:instrText>
      </w:r>
      <w:r>
        <w:rPr>
          <w:highlight w:val="none"/>
        </w:rPr>
        <w:fldChar w:fldCharType="separate"/>
      </w:r>
      <w:r>
        <w:rPr>
          <w:rFonts w:hint="eastAsia" w:ascii="宋体" w:hAnsi="宋体" w:cs="宋体"/>
          <w:bCs/>
          <w:szCs w:val="24"/>
          <w:highlight w:val="none"/>
        </w:rPr>
        <w:t xml:space="preserve">五、响应文件的解密与评审</w:t>
      </w:r>
      <w:r>
        <w:rPr>
          <w:highlight w:val="none"/>
        </w:rPr>
        <w:tab/>
      </w:r>
      <w:r>
        <w:rPr>
          <w:highlight w:val="none"/>
        </w:rPr>
        <w:fldChar w:fldCharType="begin"/>
      </w:r>
      <w:r>
        <w:rPr>
          <w:highlight w:val="none"/>
        </w:rPr>
        <w:instrText xml:space="preserve"> PAGEREF _Toc10568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"_Toc7490" </w:instrText>
      </w:r>
      <w:r>
        <w:rPr>
          <w:highlight w:val="none"/>
        </w:rPr>
        <w:fldChar w:fldCharType="separate"/>
      </w:r>
      <w:r>
        <w:rPr>
          <w:rFonts w:hint="eastAsia" w:ascii="宋体" w:hAnsi="宋体" w:cs="宋体"/>
          <w:bCs/>
          <w:szCs w:val="24"/>
          <w:highlight w:val="none"/>
        </w:rPr>
        <w:t xml:space="preserve">六、成交</w:t>
      </w:r>
      <w:r>
        <w:rPr>
          <w:highlight w:val="none"/>
        </w:rPr>
        <w:tab/>
      </w:r>
      <w:r>
        <w:rPr>
          <w:highlight w:val="none"/>
        </w:rPr>
        <w:fldChar w:fldCharType="begin"/>
      </w:r>
      <w:r>
        <w:rPr>
          <w:highlight w:val="none"/>
        </w:rPr>
        <w:instrText xml:space="preserve"> PAGEREF _Toc7490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"_Toc28820" </w:instrText>
      </w:r>
      <w:r>
        <w:rPr>
          <w:highlight w:val="none"/>
        </w:rPr>
        <w:fldChar w:fldCharType="separate"/>
      </w:r>
      <w:r>
        <w:rPr>
          <w:rFonts w:hint="eastAsia" w:ascii="宋体" w:hAnsi="宋体" w:cs="宋体"/>
          <w:bCs/>
          <w:szCs w:val="24"/>
          <w:highlight w:val="none"/>
        </w:rPr>
        <w:t xml:space="preserve">七、授予合同</w:t>
      </w:r>
      <w:r>
        <w:rPr>
          <w:highlight w:val="none"/>
        </w:rPr>
        <w:tab/>
      </w:r>
      <w:r>
        <w:rPr>
          <w:highlight w:val="none"/>
        </w:rPr>
        <w:fldChar w:fldCharType="begin"/>
      </w:r>
      <w:r>
        <w:rPr>
          <w:highlight w:val="none"/>
        </w:rPr>
        <w:instrText xml:space="preserve"> PAGEREF _Toc28820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59"/>
        <w:tabs>
          <w:tab w:val="right" w:pos="8953" w:leader="dot"/>
        </w:tabs>
        <w:rPr>
          <w:highlight w:val="none"/>
        </w:rPr>
      </w:pPr>
      <w:r>
        <w:rPr>
          <w:highlight w:val="none"/>
        </w:rPr>
        <w:fldChar w:fldCharType="begin"/>
      </w:r>
      <w:r>
        <w:rPr>
          <w:highlight w:val="none"/>
        </w:rPr>
        <w:instrText xml:space="preserve"> HYPERLINK \l "_Toc136" </w:instrText>
      </w:r>
      <w:r>
        <w:rPr>
          <w:highlight w:val="none"/>
        </w:rPr>
        <w:fldChar w:fldCharType="separate"/>
      </w:r>
      <w:r>
        <w:rPr>
          <w:rFonts w:hint="eastAsia" w:ascii="宋体" w:hAnsi="宋体" w:cs="宋体"/>
          <w:bCs/>
          <w:szCs w:val="44"/>
          <w:highlight w:val="none"/>
        </w:rPr>
        <w:t xml:space="preserve">第三章  合同文本</w:t>
      </w:r>
      <w:r>
        <w:rPr>
          <w:highlight w:val="none"/>
        </w:rPr>
        <w:tab/>
      </w:r>
      <w:r>
        <w:rPr>
          <w:highlight w:val="none"/>
        </w:rPr>
        <w:fldChar w:fldCharType="begin"/>
      </w:r>
      <w:r>
        <w:rPr>
          <w:highlight w:val="none"/>
        </w:rPr>
        <w:instrText xml:space="preserve"> PAGEREF _Toc136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59"/>
        <w:tabs>
          <w:tab w:val="right" w:pos="8953" w:leader="dot"/>
        </w:tabs>
        <w:rPr>
          <w:highlight w:val="none"/>
        </w:rPr>
      </w:pPr>
      <w:r>
        <w:rPr>
          <w:highlight w:val="none"/>
        </w:rPr>
        <w:fldChar w:fldCharType="begin"/>
      </w:r>
      <w:r>
        <w:rPr>
          <w:highlight w:val="none"/>
        </w:rPr>
        <w:instrText xml:space="preserve"> HYPERLINK \l "_Toc11233" </w:instrText>
      </w:r>
      <w:r>
        <w:rPr>
          <w:highlight w:val="none"/>
        </w:rPr>
        <w:fldChar w:fldCharType="separate"/>
      </w:r>
      <w:r>
        <w:rPr>
          <w:rFonts w:hint="eastAsia" w:ascii="宋体" w:hAnsi="宋体" w:cs="宋体"/>
          <w:bCs/>
          <w:szCs w:val="44"/>
          <w:highlight w:val="none"/>
        </w:rPr>
        <w:t xml:space="preserve">第四章  采购需求</w:t>
      </w:r>
      <w:r>
        <w:rPr>
          <w:highlight w:val="none"/>
        </w:rPr>
        <w:tab/>
      </w:r>
      <w:r>
        <w:rPr>
          <w:highlight w:val="none"/>
        </w:rPr>
        <w:fldChar w:fldCharType="begin"/>
      </w:r>
      <w:r>
        <w:rPr>
          <w:highlight w:val="none"/>
        </w:rPr>
        <w:instrText xml:space="preserve"> PAGEREF _Toc11233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759"/>
        <w:tabs>
          <w:tab w:val="right" w:pos="8953" w:leader="dot"/>
        </w:tabs>
        <w:rPr>
          <w:highlight w:val="none"/>
        </w:rPr>
      </w:pPr>
      <w:r>
        <w:rPr>
          <w:highlight w:val="none"/>
        </w:rPr>
        <w:fldChar w:fldCharType="begin"/>
      </w:r>
      <w:r>
        <w:rPr>
          <w:highlight w:val="none"/>
        </w:rPr>
        <w:instrText xml:space="preserve"> HYPERLINK \l "_Toc28009" </w:instrText>
      </w:r>
      <w:r>
        <w:rPr>
          <w:highlight w:val="none"/>
        </w:rPr>
        <w:fldChar w:fldCharType="separate"/>
      </w:r>
      <w:r>
        <w:rPr>
          <w:rFonts w:hint="eastAsia" w:ascii="宋体" w:hAnsi="宋体" w:cs="宋体"/>
          <w:bCs/>
          <w:szCs w:val="44"/>
          <w:highlight w:val="none"/>
        </w:rPr>
        <w:t xml:space="preserve">第五章  评审方法与评审标准</w:t>
      </w:r>
      <w:r>
        <w:rPr>
          <w:highlight w:val="none"/>
        </w:rPr>
        <w:tab/>
      </w:r>
      <w:r>
        <w:rPr>
          <w:highlight w:val="none"/>
        </w:rPr>
        <w:fldChar w:fldCharType="begin"/>
      </w:r>
      <w:r>
        <w:rPr>
          <w:highlight w:val="none"/>
        </w:rPr>
        <w:instrText xml:space="preserve"> PAGEREF _Toc28009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759"/>
        <w:tabs>
          <w:tab w:val="right" w:pos="8953" w:leader="dot"/>
        </w:tabs>
        <w:rPr>
          <w:highlight w:val="none"/>
        </w:rPr>
      </w:pPr>
      <w:r>
        <w:rPr>
          <w:highlight w:val="none"/>
        </w:rPr>
        <w:fldChar w:fldCharType="begin"/>
      </w:r>
      <w:r>
        <w:rPr>
          <w:highlight w:val="none"/>
        </w:rPr>
        <w:instrText xml:space="preserve"> HYPERLINK \l "_Toc7809" </w:instrText>
      </w:r>
      <w:r>
        <w:rPr>
          <w:highlight w:val="none"/>
        </w:rPr>
        <w:fldChar w:fldCharType="separate"/>
      </w:r>
      <w:r>
        <w:rPr>
          <w:rFonts w:hint="eastAsia" w:ascii="宋体" w:hAnsi="宋体" w:cs="宋体"/>
          <w:szCs w:val="28"/>
          <w:highlight w:val="none"/>
        </w:rPr>
        <w:t xml:space="preserve">第六章  响应文件格式</w:t>
      </w:r>
      <w:r>
        <w:rPr>
          <w:highlight w:val="none"/>
        </w:rPr>
        <w:tab/>
      </w:r>
      <w:r>
        <w:rPr>
          <w:highlight w:val="none"/>
        </w:rPr>
        <w:fldChar w:fldCharType="begin"/>
      </w:r>
      <w:r>
        <w:rPr>
          <w:highlight w:val="none"/>
        </w:rPr>
        <w:instrText xml:space="preserve"> PAGEREF _Toc7809 \h </w:instrText>
      </w:r>
      <w:r>
        <w:rPr>
          <w:highlight w:val="none"/>
        </w:rPr>
        <w:fldChar w:fldCharType="separate"/>
      </w:r>
      <w:r>
        <w:rPr>
          <w:highlight w:val="none"/>
        </w:rPr>
        <w:t xml:space="preserve">58</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"_Toc10458" </w:instrText>
      </w:r>
      <w:r>
        <w:rPr>
          <w:highlight w:val="none"/>
        </w:rPr>
        <w:fldChar w:fldCharType="separate"/>
      </w:r>
      <w:r>
        <w:rPr>
          <w:rFonts w:hint="eastAsia" w:ascii="宋体" w:hAnsi="宋体" w:cs="宋体"/>
          <w:bCs/>
          <w:szCs w:val="32"/>
          <w:highlight w:val="none"/>
        </w:rPr>
        <w:t xml:space="preserve">响应文件目录</w:t>
      </w:r>
      <w:r>
        <w:rPr>
          <w:highlight w:val="none"/>
        </w:rPr>
        <w:tab/>
      </w:r>
      <w:r>
        <w:rPr>
          <w:highlight w:val="none"/>
        </w:rPr>
        <w:fldChar w:fldCharType="begin"/>
      </w:r>
      <w:r>
        <w:rPr>
          <w:highlight w:val="none"/>
        </w:rPr>
        <w:instrText xml:space="preserve"> PAGEREF _Toc10458 \h </w:instrText>
      </w:r>
      <w:r>
        <w:rPr>
          <w:highlight w:val="none"/>
        </w:rPr>
        <w:fldChar w:fldCharType="separate"/>
      </w:r>
      <w:r>
        <w:rPr>
          <w:highlight w:val="none"/>
        </w:rPr>
        <w:t xml:space="preserve">59</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"_Toc29921" </w:instrText>
      </w:r>
      <w:r>
        <w:rPr>
          <w:highlight w:val="none"/>
        </w:rPr>
        <w:fldChar w:fldCharType="separate"/>
      </w:r>
      <w:r>
        <w:rPr>
          <w:rFonts w:hint="eastAsia" w:ascii="宋体" w:hAnsi="宋体" w:cs="宋体"/>
          <w:iCs/>
          <w:szCs w:val="32"/>
          <w:highlight w:val="none"/>
        </w:rPr>
        <w:t xml:space="preserve">一、磋商申请及声明</w:t>
      </w:r>
      <w:r>
        <w:rPr>
          <w:highlight w:val="none"/>
        </w:rPr>
        <w:tab/>
      </w:r>
      <w:r>
        <w:rPr>
          <w:highlight w:val="none"/>
        </w:rPr>
        <w:fldChar w:fldCharType="begin"/>
      </w:r>
      <w:r>
        <w:rPr>
          <w:highlight w:val="none"/>
        </w:rPr>
        <w:instrText xml:space="preserve"> PAGEREF _Toc29921 \h </w:instrText>
      </w:r>
      <w:r>
        <w:rPr>
          <w:highlight w:val="none"/>
        </w:rPr>
        <w:fldChar w:fldCharType="separate"/>
      </w:r>
      <w:r>
        <w:rPr>
          <w:highlight w:val="none"/>
        </w:rPr>
        <w:t xml:space="preserve">60</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"_Toc17357" </w:instrText>
      </w:r>
      <w:r>
        <w:rPr>
          <w:highlight w:val="none"/>
        </w:rPr>
        <w:fldChar w:fldCharType="separate"/>
      </w:r>
      <w:r>
        <w:rPr>
          <w:rFonts w:hint="eastAsia" w:ascii="宋体" w:hAnsi="宋体" w:cs="宋体"/>
          <w:iCs/>
          <w:szCs w:val="32"/>
          <w:highlight w:val="none"/>
        </w:rPr>
        <w:t xml:space="preserve">二、供应商基本信息</w:t>
      </w:r>
      <w:r>
        <w:rPr>
          <w:highlight w:val="none"/>
        </w:rPr>
        <w:tab/>
      </w:r>
      <w:r>
        <w:rPr>
          <w:highlight w:val="none"/>
        </w:rPr>
        <w:fldChar w:fldCharType="begin"/>
      </w:r>
      <w:r>
        <w:rPr>
          <w:highlight w:val="none"/>
        </w:rPr>
        <w:instrText xml:space="preserve"> PAGEREF _Toc17357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"_Toc8562" </w:instrText>
      </w:r>
      <w:r>
        <w:rPr>
          <w:highlight w:val="none"/>
        </w:rPr>
        <w:fldChar w:fldCharType="separate"/>
      </w:r>
      <w:r>
        <w:rPr>
          <w:rFonts w:hint="eastAsia" w:ascii="宋体" w:hAnsi="宋体" w:cs="宋体"/>
          <w:iCs/>
          <w:szCs w:val="32"/>
          <w:highlight w:val="none"/>
        </w:rPr>
        <w:t xml:space="preserve">三、特定资格要求的证明文件</w:t>
      </w:r>
      <w:r>
        <w:rPr>
          <w:highlight w:val="none"/>
        </w:rPr>
        <w:tab/>
      </w:r>
      <w:r>
        <w:rPr>
          <w:highlight w:val="none"/>
        </w:rPr>
        <w:fldChar w:fldCharType="begin"/>
      </w:r>
      <w:r>
        <w:rPr>
          <w:highlight w:val="none"/>
        </w:rPr>
        <w:instrText xml:space="preserve"> PAGEREF _Toc8562 \h </w:instrText>
      </w:r>
      <w:r>
        <w:rPr>
          <w:highlight w:val="none"/>
        </w:rPr>
        <w:fldChar w:fldCharType="separate"/>
      </w:r>
      <w:r>
        <w:rPr>
          <w:highlight w:val="none"/>
        </w:rPr>
        <w:t xml:space="preserve">62</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"_Toc16119" </w:instrText>
      </w:r>
      <w:r>
        <w:rPr>
          <w:highlight w:val="none"/>
        </w:rPr>
        <w:fldChar w:fldCharType="separate"/>
      </w:r>
      <w:r>
        <w:rPr>
          <w:rFonts w:hint="eastAsia" w:ascii="宋体" w:hAnsi="宋体" w:cs="宋体"/>
          <w:iCs/>
          <w:szCs w:val="32"/>
          <w:highlight w:val="none"/>
        </w:rPr>
        <w:t xml:space="preserve">四、法人授权书</w:t>
      </w:r>
      <w:r>
        <w:rPr>
          <w:highlight w:val="none"/>
        </w:rPr>
        <w:tab/>
      </w:r>
      <w:r>
        <w:rPr>
          <w:highlight w:val="none"/>
        </w:rPr>
        <w:fldChar w:fldCharType="begin"/>
      </w:r>
      <w:r>
        <w:rPr>
          <w:highlight w:val="none"/>
        </w:rPr>
        <w:instrText xml:space="preserve"> PAGEREF _Toc16119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"_Toc16895" </w:instrText>
      </w:r>
      <w:r>
        <w:rPr>
          <w:highlight w:val="none"/>
        </w:rPr>
        <w:fldChar w:fldCharType="separate"/>
      </w:r>
      <w:r>
        <w:rPr>
          <w:rFonts w:hint="eastAsia" w:ascii="宋体" w:hAnsi="宋体" w:cs="宋体"/>
          <w:iCs/>
          <w:szCs w:val="32"/>
          <w:highlight w:val="none"/>
        </w:rPr>
        <w:t xml:space="preserve">五、中小（微）企业声明函（服务）</w:t>
      </w:r>
      <w:r>
        <w:rPr>
          <w:highlight w:val="none"/>
        </w:rPr>
        <w:tab/>
      </w:r>
      <w:r>
        <w:rPr>
          <w:highlight w:val="none"/>
        </w:rPr>
        <w:fldChar w:fldCharType="begin"/>
      </w:r>
      <w:r>
        <w:rPr>
          <w:highlight w:val="none"/>
        </w:rPr>
        <w:instrText xml:space="preserve"> PAGEREF _Toc16895 \h </w:instrText>
      </w:r>
      <w:r>
        <w:rPr>
          <w:highlight w:val="none"/>
        </w:rPr>
        <w:fldChar w:fldCharType="separate"/>
      </w:r>
      <w:r>
        <w:rPr>
          <w:highlight w:val="none"/>
        </w:rPr>
        <w:t xml:space="preserve">64</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"_Toc26962" </w:instrText>
      </w:r>
      <w:r>
        <w:rPr>
          <w:highlight w:val="none"/>
        </w:rPr>
        <w:fldChar w:fldCharType="separate"/>
      </w:r>
      <w:r>
        <w:rPr>
          <w:rFonts w:hint="eastAsia" w:ascii="宋体" w:hAnsi="宋体" w:cs="宋体"/>
          <w:iCs/>
          <w:szCs w:val="32"/>
          <w:highlight w:val="none"/>
        </w:rPr>
        <w:t xml:space="preserve">六、报价一览表</w:t>
      </w:r>
      <w:r>
        <w:rPr>
          <w:highlight w:val="none"/>
        </w:rPr>
        <w:tab/>
      </w:r>
      <w:r>
        <w:rPr>
          <w:highlight w:val="none"/>
        </w:rPr>
        <w:fldChar w:fldCharType="begin"/>
      </w:r>
      <w:r>
        <w:rPr>
          <w:highlight w:val="none"/>
        </w:rPr>
        <w:instrText xml:space="preserve"> PAGEREF _Toc26962 \h </w:instrText>
      </w:r>
      <w:r>
        <w:rPr>
          <w:highlight w:val="none"/>
        </w:rPr>
        <w:fldChar w:fldCharType="separate"/>
      </w:r>
      <w:r>
        <w:rPr>
          <w:highlight w:val="none"/>
        </w:rPr>
        <w:t xml:space="preserve">66</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"_Toc22665" </w:instrText>
      </w:r>
      <w:r>
        <w:rPr>
          <w:highlight w:val="none"/>
        </w:rPr>
        <w:fldChar w:fldCharType="separate"/>
      </w:r>
      <w:r>
        <w:rPr>
          <w:rFonts w:hint="eastAsia" w:ascii="宋体" w:hAnsi="宋体" w:cs="宋体"/>
          <w:iCs/>
          <w:szCs w:val="32"/>
          <w:highlight w:val="none"/>
        </w:rPr>
        <w:t xml:space="preserve">七、分项报价表（服务类）</w:t>
      </w:r>
      <w:r>
        <w:rPr>
          <w:highlight w:val="none"/>
        </w:rPr>
        <w:tab/>
      </w:r>
      <w:r>
        <w:rPr>
          <w:highlight w:val="none"/>
        </w:rPr>
        <w:fldChar w:fldCharType="begin"/>
      </w:r>
      <w:r>
        <w:rPr>
          <w:highlight w:val="none"/>
        </w:rPr>
        <w:instrText xml:space="preserve"> PAGEREF _Toc22665 \h </w:instrText>
      </w:r>
      <w:r>
        <w:rPr>
          <w:highlight w:val="none"/>
        </w:rPr>
        <w:fldChar w:fldCharType="separate"/>
      </w:r>
      <w:r>
        <w:rPr>
          <w:highlight w:val="none"/>
        </w:rPr>
        <w:t xml:space="preserve">67</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"_Toc14341" </w:instrText>
      </w:r>
      <w:r>
        <w:rPr>
          <w:highlight w:val="none"/>
        </w:rPr>
        <w:fldChar w:fldCharType="separate"/>
      </w:r>
      <w:r>
        <w:rPr>
          <w:rFonts w:hint="eastAsia" w:ascii="宋体" w:hAnsi="宋体" w:cs="宋体"/>
          <w:iCs/>
          <w:szCs w:val="32"/>
          <w:highlight w:val="none"/>
        </w:rPr>
        <w:t xml:space="preserve">八、服务标准和要求响应及偏离表</w:t>
      </w:r>
      <w:r>
        <w:rPr>
          <w:highlight w:val="none"/>
        </w:rPr>
        <w:tab/>
      </w:r>
      <w:r>
        <w:rPr>
          <w:highlight w:val="none"/>
        </w:rPr>
        <w:fldChar w:fldCharType="begin"/>
      </w:r>
      <w:r>
        <w:rPr>
          <w:highlight w:val="none"/>
        </w:rPr>
        <w:instrText xml:space="preserve"> PAGEREF _Toc14341 \h </w:instrText>
      </w:r>
      <w:r>
        <w:rPr>
          <w:highlight w:val="none"/>
        </w:rPr>
        <w:fldChar w:fldCharType="separate"/>
      </w:r>
      <w:r>
        <w:rPr>
          <w:highlight w:val="none"/>
        </w:rPr>
        <w:t xml:space="preserve">68</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"_Toc15386" </w:instrText>
      </w:r>
      <w:r>
        <w:rPr>
          <w:highlight w:val="none"/>
        </w:rPr>
        <w:fldChar w:fldCharType="separate"/>
      </w:r>
      <w:r>
        <w:rPr>
          <w:rFonts w:hint="eastAsia" w:ascii="宋体" w:hAnsi="宋体" w:cs="宋体"/>
          <w:iCs/>
          <w:szCs w:val="32"/>
          <w:highlight w:val="none"/>
        </w:rPr>
        <w:t xml:space="preserve">九、项目组人员</w:t>
      </w:r>
      <w:r>
        <w:rPr>
          <w:highlight w:val="none"/>
        </w:rPr>
        <w:tab/>
      </w:r>
      <w:r>
        <w:rPr>
          <w:highlight w:val="none"/>
        </w:rPr>
        <w:fldChar w:fldCharType="begin"/>
      </w:r>
      <w:r>
        <w:rPr>
          <w:highlight w:val="none"/>
        </w:rPr>
        <w:instrText xml:space="preserve"> PAGEREF _Toc15386 \h </w:instrText>
      </w:r>
      <w:r>
        <w:rPr>
          <w:highlight w:val="none"/>
        </w:rPr>
        <w:fldChar w:fldCharType="separate"/>
      </w:r>
      <w:r>
        <w:rPr>
          <w:highlight w:val="none"/>
        </w:rPr>
        <w:t xml:space="preserve">69</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"_Toc2667" </w:instrText>
      </w:r>
      <w:r>
        <w:rPr>
          <w:highlight w:val="none"/>
        </w:rPr>
        <w:fldChar w:fldCharType="separate"/>
      </w:r>
      <w:r>
        <w:rPr>
          <w:rFonts w:hint="eastAsia" w:ascii="宋体" w:hAnsi="宋体" w:cs="宋体"/>
          <w:iCs/>
          <w:szCs w:val="32"/>
          <w:highlight w:val="none"/>
        </w:rPr>
        <w:t xml:space="preserve">十、企业业绩</w:t>
      </w:r>
      <w:r>
        <w:rPr>
          <w:highlight w:val="none"/>
        </w:rPr>
        <w:tab/>
      </w:r>
      <w:r>
        <w:rPr>
          <w:highlight w:val="none"/>
        </w:rPr>
        <w:fldChar w:fldCharType="begin"/>
      </w:r>
      <w:r>
        <w:rPr>
          <w:highlight w:val="none"/>
        </w:rPr>
        <w:instrText xml:space="preserve"> PAGEREF _Toc2667 \h </w:instrText>
      </w:r>
      <w:r>
        <w:rPr>
          <w:highlight w:val="none"/>
        </w:rPr>
        <w:fldChar w:fldCharType="separate"/>
      </w:r>
      <w:r>
        <w:rPr>
          <w:highlight w:val="none"/>
        </w:rPr>
        <w:t xml:space="preserve">70</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"_Toc2361" </w:instrText>
      </w:r>
      <w:r>
        <w:rPr>
          <w:highlight w:val="none"/>
        </w:rPr>
        <w:fldChar w:fldCharType="separate"/>
      </w:r>
      <w:r>
        <w:rPr>
          <w:rFonts w:hint="eastAsia" w:ascii="宋体" w:hAnsi="宋体" w:cs="宋体"/>
          <w:iCs/>
          <w:szCs w:val="32"/>
          <w:highlight w:val="none"/>
        </w:rPr>
        <w:t xml:space="preserve">十一、磋商所需其他材料</w:t>
      </w:r>
      <w:r>
        <w:rPr>
          <w:highlight w:val="none"/>
        </w:rPr>
        <w:tab/>
      </w:r>
      <w:r>
        <w:rPr>
          <w:highlight w:val="none"/>
        </w:rPr>
        <w:fldChar w:fldCharType="begin"/>
      </w:r>
      <w:r>
        <w:rPr>
          <w:highlight w:val="none"/>
        </w:rPr>
        <w:instrText xml:space="preserve"> PAGEREF _Toc2361 \h </w:instrText>
      </w:r>
      <w:r>
        <w:rPr>
          <w:highlight w:val="none"/>
        </w:rPr>
        <w:fldChar w:fldCharType="separate"/>
      </w:r>
      <w:r>
        <w:rPr>
          <w:highlight w:val="none"/>
        </w:rPr>
        <w:t xml:space="preserve">71</w:t>
      </w:r>
      <w:r>
        <w:rPr>
          <w:highlight w:val="none"/>
        </w:rPr>
        <w:fldChar w:fldCharType="end"/>
      </w:r>
      <w:r>
        <w:rPr>
          <w:highlight w:val="none"/>
        </w:rPr>
        <w:fldChar w:fldCharType="end"/>
      </w:r>
      <w:r/>
    </w:p>
    <w:p>
      <w:pPr>
        <w:pStyle w:val="765"/>
        <w:tabs>
          <w:tab w:val="right" w:pos="8953" w:leader="dot"/>
        </w:tabs>
        <w:rPr>
          <w:highlight w:val="none"/>
        </w:rPr>
      </w:pPr>
      <w:r>
        <w:rPr>
          <w:highlight w:val="none"/>
        </w:rPr>
        <w:fldChar w:fldCharType="begin"/>
      </w:r>
      <w:r>
        <w:rPr>
          <w:highlight w:val="none"/>
        </w:rPr>
        <w:instrText xml:space="preserve"> HYPERLINK \l "_Toc9021" </w:instrText>
      </w:r>
      <w:r>
        <w:rPr>
          <w:highlight w:val="none"/>
        </w:rPr>
        <w:fldChar w:fldCharType="separate"/>
      </w:r>
      <w:r>
        <w:rPr>
          <w:rFonts w:hint="eastAsia" w:ascii="宋体" w:hAnsi="宋体" w:cs="宋体"/>
          <w:iCs/>
          <w:szCs w:val="32"/>
          <w:highlight w:val="none"/>
        </w:rPr>
        <w:t xml:space="preserve">十二、质疑函范本</w:t>
      </w:r>
      <w:r>
        <w:rPr>
          <w:highlight w:val="none"/>
        </w:rPr>
        <w:tab/>
      </w:r>
      <w:r>
        <w:rPr>
          <w:highlight w:val="none"/>
        </w:rPr>
        <w:fldChar w:fldCharType="begin"/>
      </w:r>
      <w:r>
        <w:rPr>
          <w:highlight w:val="none"/>
        </w:rPr>
        <w:instrText xml:space="preserve"> PAGEREF _Toc9021 \h </w:instrText>
      </w:r>
      <w:r>
        <w:rPr>
          <w:highlight w:val="none"/>
        </w:rPr>
        <w:fldChar w:fldCharType="separate"/>
      </w:r>
      <w:r>
        <w:rPr>
          <w:highlight w:val="none"/>
        </w:rPr>
        <w:t xml:space="preserve">72</w:t>
      </w:r>
      <w:r>
        <w:rPr>
          <w:highlight w:val="none"/>
        </w:rPr>
        <w:fldChar w:fldCharType="end"/>
      </w:r>
      <w:r>
        <w:rPr>
          <w:highlight w:val="none"/>
        </w:rPr>
        <w:fldChar w:fldCharType="end"/>
      </w:r>
      <w:r/>
    </w:p>
    <w:p>
      <w:pPr>
        <w:rPr>
          <w:rFonts w:hint="eastAsia" w:ascii="宋体" w:hAnsi="宋体" w:cs="宋体"/>
          <w:szCs w:val="21"/>
          <w:highlight w:val="none"/>
        </w:rPr>
      </w:pPr>
      <w:r>
        <w:rPr>
          <w:rFonts w:hint="eastAsia" w:ascii="宋体" w:hAnsi="宋体" w:cs="宋体"/>
          <w:szCs w:val="21"/>
          <w:highlight w:val="none"/>
        </w:rPr>
        <w:fldChar w:fldCharType="end"/>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b/>
          <w:bCs/>
          <w:sz w:val="44"/>
          <w:szCs w:val="44"/>
          <w:highlight w:val="none"/>
        </w:rPr>
      </w:pPr>
      <w:r>
        <w:rPr>
          <w:rFonts w:hint="eastAsia" w:ascii="宋体" w:hAnsi="宋体" w:cs="宋体"/>
          <w:b/>
          <w:bCs/>
          <w:sz w:val="44"/>
          <w:szCs w:val="44"/>
          <w:highlight w:val="none"/>
        </w:rPr>
        <w:br w:type="page" w:clear="all"/>
      </w:r>
      <w:r/>
    </w:p>
    <w:p>
      <w:pPr>
        <w:jc w:val="center"/>
        <w:keepLines/>
        <w:keepNext/>
        <w:spacing w:before="260" w:after="260" w:line="416" w:lineRule="auto"/>
        <w:rPr>
          <w:rFonts w:hint="eastAsia" w:ascii="宋体" w:hAnsi="宋体" w:cs="宋体"/>
          <w:b/>
          <w:bCs/>
          <w:sz w:val="44"/>
          <w:szCs w:val="44"/>
          <w:highlight w:val="none"/>
        </w:rPr>
        <w:outlineLvl w:val="0"/>
      </w:pPr>
      <w:r/>
      <w:bookmarkStart w:id="6" w:name="_Toc30443"/>
      <w:r>
        <w:rPr>
          <w:rFonts w:hint="eastAsia" w:ascii="宋体" w:hAnsi="宋体" w:cs="宋体"/>
          <w:b/>
          <w:bCs/>
          <w:sz w:val="44"/>
          <w:szCs w:val="44"/>
          <w:highlight w:val="none"/>
        </w:rPr>
        <w:t xml:space="preserve">第一章  </w:t>
      </w:r>
      <w:bookmarkEnd w:id="0"/>
      <w:r>
        <w:rPr>
          <w:rFonts w:hint="eastAsia" w:ascii="宋体" w:hAnsi="宋体" w:cs="宋体"/>
          <w:b/>
          <w:bCs/>
          <w:sz w:val="44"/>
          <w:szCs w:val="44"/>
          <w:highlight w:val="none"/>
        </w:rPr>
        <w:t xml:space="preserve">磋商邀请</w:t>
      </w:r>
      <w:bookmarkEnd w:id="6"/>
      <w:r/>
      <w:r/>
    </w:p>
    <w:p>
      <w:pPr>
        <w:ind w:firstLine="480"/>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b/>
          <w:bCs/>
          <w:sz w:val="24"/>
          <w:szCs w:val="24"/>
          <w:highlight w:val="none"/>
        </w:rPr>
        <w:t xml:space="preserve">宿迁市生态环境监测监控服务中心</w:t>
      </w:r>
      <w:r>
        <w:rPr>
          <w:rFonts w:hint="eastAsia" w:ascii="宋体" w:hAnsi="宋体" w:cs="宋体"/>
          <w:sz w:val="24"/>
          <w:szCs w:val="24"/>
          <w:highlight w:val="none"/>
        </w:rPr>
        <w:t xml:space="preserve">的委托</w:t>
      </w:r>
      <w:r>
        <w:rPr>
          <w:rFonts w:hint="eastAsia" w:ascii="宋体" w:hAnsi="宋体" w:cs="宋体"/>
          <w:sz w:val="24"/>
          <w:szCs w:val="24"/>
          <w:highlight w:val="none"/>
          <w:lang w:val="en-US" w:eastAsia="zh-CN"/>
        </w:rPr>
        <w:t xml:space="preserve">,</w:t>
      </w:r>
      <w:r>
        <w:rPr>
          <w:rFonts w:hint="eastAsia" w:ascii="Times New Roman" w:hAnsi="Times New Roman"/>
          <w:color w:val="auto"/>
          <w:sz w:val="24"/>
          <w:szCs w:val="24"/>
          <w:highlight w:val="none"/>
          <w:lang w:val="en-US" w:eastAsia="zh-CN"/>
        </w:rPr>
        <w:t xml:space="preserve">江苏天园项目管理集团有限公司</w:t>
      </w:r>
      <w:r>
        <w:rPr>
          <w:rFonts w:hint="eastAsia" w:ascii="宋体" w:hAnsi="宋体" w:cs="宋体"/>
          <w:sz w:val="24"/>
          <w:szCs w:val="24"/>
          <w:highlight w:val="none"/>
        </w:rPr>
        <w:t xml:space="preserve">就</w:t>
      </w:r>
      <w:r>
        <w:rPr>
          <w:rFonts w:hint="eastAsia" w:ascii="宋体" w:hAnsi="宋体" w:cs="宋体"/>
          <w:b/>
          <w:bCs/>
          <w:sz w:val="24"/>
          <w:szCs w:val="24"/>
          <w:highlight w:val="none"/>
        </w:rPr>
        <w:t xml:space="preserve">宿迁市市控水质自动监测站运行维护项目</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项目编号：JSZC-321300-TYJT-C2026</w:t>
      </w:r>
      <w:r>
        <w:rPr>
          <w:rFonts w:hint="eastAsia"/>
          <w:color w:val="auto"/>
          <w:sz w:val="24"/>
          <w:szCs w:val="24"/>
          <w:highlight w:val="none"/>
          <w:lang w:val="en-US" w:eastAsia="zh-CN"/>
        </w:rPr>
        <w:t xml:space="preserve">-0004</w:t>
      </w:r>
      <w:r>
        <w:rPr>
          <w:rFonts w:hint="eastAsia" w:ascii="Times New Roman" w:hAnsi="Times New Roman"/>
          <w:color w:val="auto"/>
          <w:sz w:val="24"/>
          <w:szCs w:val="24"/>
          <w:highlight w:val="none"/>
        </w:rPr>
        <w:t xml:space="preserve">)项目进行竞争性磋商采购，欢迎符合条件的供应商参加磋商。</w:t>
      </w:r>
      <w:r/>
    </w:p>
    <w:p>
      <w:pPr>
        <w:ind w:firstLine="480"/>
        <w:pageBreakBefore w:val="0"/>
        <w:spacing w:line="48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pageBreakBefore w:val="0"/>
        <w:spacing w:line="48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宿迁市市控水质自动监测站运行维护项目</w:t>
      </w:r>
      <w:r>
        <w:rPr>
          <w:rFonts w:hint="eastAsia" w:ascii="宋体" w:hAnsi="宋体" w:cs="宋体"/>
          <w:sz w:val="24"/>
          <w:szCs w:val="24"/>
          <w:highlight w:val="none"/>
        </w:rPr>
        <w:t xml:space="preserve">竞争性磋商项目的潜在供应商可在</w:t>
      </w:r>
      <w:r>
        <w:rPr>
          <w:rFonts w:hint="eastAsia" w:ascii="宋体" w:hAnsi="宋体" w:cs="宋体"/>
          <w:sz w:val="24"/>
          <w:szCs w:val="24"/>
          <w:highlight w:val="none"/>
          <w:u w:val="single"/>
        </w:rPr>
        <w:t xml:space="preserve">“宿迁市政府采购网”自行免费下载</w:t>
      </w:r>
      <w:r>
        <w:rPr>
          <w:rFonts w:hint="eastAsia" w:ascii="宋体" w:hAnsi="宋体" w:cs="宋体"/>
          <w:sz w:val="24"/>
          <w:szCs w:val="24"/>
          <w:highlight w:val="none"/>
        </w:rPr>
        <w:t xml:space="preserve">磋商文件，并于</w:t>
      </w:r>
      <w:r>
        <w:rPr>
          <w:rFonts w:hint="eastAsia" w:ascii="宋体" w:hAnsi="宋体" w:cs="宋体"/>
          <w:b/>
          <w:bCs/>
          <w:sz w:val="24"/>
          <w:szCs w:val="24"/>
          <w:highlight w:val="none"/>
          <w:lang w:val="en-US" w:eastAsia="zh-CN"/>
        </w:rPr>
        <w:t xml:space="preserve">2026年4月30日9时30分</w:t>
      </w:r>
      <w:r>
        <w:rPr>
          <w:rFonts w:hint="eastAsia" w:ascii="宋体" w:hAnsi="宋体" w:cs="宋体"/>
          <w:bCs/>
          <w:sz w:val="24"/>
          <w:szCs w:val="24"/>
          <w:highlight w:val="none"/>
        </w:rPr>
        <w:t xml:space="preserve">（北京时间）前递交响应文件</w:t>
      </w:r>
      <w:r>
        <w:rPr>
          <w:rFonts w:hint="eastAsia" w:ascii="宋体" w:hAnsi="宋体" w:cs="宋体"/>
          <w:sz w:val="24"/>
          <w:szCs w:val="24"/>
          <w:highlight w:val="none"/>
        </w:rPr>
        <w:t xml:space="preserve">。</w:t>
      </w:r>
      <w:r/>
    </w:p>
    <w:p>
      <w:pPr>
        <w:ind w:firstLine="373"/>
        <w:keepLines/>
        <w:keepNext/>
        <w:pageBreakBefore w:val="0"/>
        <w:spacing w:line="480" w:lineRule="auto"/>
        <w:rPr>
          <w:rFonts w:hint="eastAsia" w:ascii="宋体" w:hAnsi="宋体" w:cs="宋体"/>
          <w:b/>
          <w:bCs/>
          <w:sz w:val="24"/>
          <w:szCs w:val="24"/>
          <w:highlight w:val="none"/>
        </w:rPr>
      </w:pPr>
      <w:r/>
      <w:bookmarkStart w:id="7" w:name="_Toc28359002"/>
      <w:r/>
      <w:bookmarkStart w:id="8" w:name="_Toc28359079"/>
      <w:r/>
      <w:bookmarkStart w:id="9" w:name="_Toc38985263"/>
      <w:r/>
      <w:bookmarkStart w:id="10" w:name="_Toc35393790"/>
      <w:r/>
      <w:bookmarkStart w:id="11" w:name="_Toc35393621"/>
      <w:r/>
      <w:bookmarkStart w:id="12" w:name="_Hlk24379207"/>
      <w:r>
        <w:rPr>
          <w:rFonts w:hint="eastAsia" w:ascii="宋体" w:hAnsi="宋体" w:cs="宋体"/>
          <w:b/>
          <w:bCs/>
          <w:sz w:val="24"/>
          <w:szCs w:val="24"/>
          <w:highlight w:val="none"/>
        </w:rPr>
        <w:t xml:space="preserve">一、项目基本情况</w:t>
      </w:r>
      <w:bookmarkEnd w:id="7"/>
      <w:r/>
      <w:bookmarkEnd w:id="8"/>
      <w:r/>
      <w:bookmarkEnd w:id="9"/>
      <w:r/>
      <w:bookmarkEnd w:id="10"/>
      <w:r/>
      <w:bookmarkEnd w:id="11"/>
      <w:r/>
      <w:r/>
    </w:p>
    <w:p>
      <w:pPr>
        <w:ind w:firstLine="480"/>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JSZC-321300-TYJT-C2026</w:t>
      </w:r>
      <w:r>
        <w:rPr>
          <w:rFonts w:hint="eastAsia"/>
          <w:color w:val="auto"/>
          <w:sz w:val="24"/>
          <w:szCs w:val="24"/>
          <w:highlight w:val="none"/>
          <w:lang w:val="en-US" w:eastAsia="zh-CN"/>
        </w:rPr>
        <w:t xml:space="preserve">-0004</w:t>
      </w:r>
      <w:r/>
    </w:p>
    <w:p>
      <w:pPr>
        <w:ind w:firstLine="480"/>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2.项目名称：宿迁市市控水质自动监测站运行维护项目</w:t>
      </w:r>
      <w:bookmarkEnd w:id="12"/>
      <w:r/>
      <w:r/>
    </w:p>
    <w:p>
      <w:pPr>
        <w:ind w:firstLine="480"/>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3.预算金额：135万元</w:t>
      </w:r>
      <w:r/>
    </w:p>
    <w:p>
      <w:pPr>
        <w:ind w:firstLine="482"/>
        <w:pageBreakBefore w:val="0"/>
        <w:spacing w:line="48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4.本项目</w:t>
      </w:r>
      <w:r>
        <w:rPr>
          <w:rFonts w:hint="eastAsia" w:ascii="宋体" w:hAnsi="宋体" w:cs="宋体"/>
          <w:b/>
          <w:bCs/>
          <w:sz w:val="24"/>
          <w:szCs w:val="24"/>
          <w:highlight w:val="none"/>
          <w:u w:val="single"/>
        </w:rPr>
        <w:t xml:space="preserve">设定</w:t>
      </w:r>
      <w:r>
        <w:rPr>
          <w:rFonts w:hint="eastAsia" w:ascii="宋体" w:hAnsi="宋体" w:cs="宋体"/>
          <w:b/>
          <w:bCs/>
          <w:sz w:val="24"/>
          <w:szCs w:val="24"/>
          <w:highlight w:val="none"/>
        </w:rPr>
        <w:t xml:space="preserve">最高限价，最高限价为133.5万元。</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本</w:t>
      </w:r>
      <w:r>
        <w:rPr>
          <w:rFonts w:hint="eastAsia" w:ascii="宋体" w:hAnsi="宋体" w:cs="宋体"/>
          <w:b/>
          <w:bCs/>
          <w:sz w:val="24"/>
          <w:szCs w:val="24"/>
          <w:highlight w:val="none"/>
        </w:rPr>
        <w:t xml:space="preserve">最高限价</w:t>
      </w:r>
      <w:r>
        <w:rPr>
          <w:rFonts w:hint="eastAsia" w:ascii="宋体" w:hAnsi="宋体" w:cs="宋体"/>
          <w:b/>
          <w:bCs/>
          <w:sz w:val="24"/>
          <w:szCs w:val="24"/>
          <w:highlight w:val="none"/>
          <w:lang w:val="en-US" w:eastAsia="zh-CN"/>
        </w:rPr>
        <w:t xml:space="preserve">为12个月的运维服务费，产生的运维费按实际合同履约期进行折算</w:t>
      </w:r>
      <w:r>
        <w:rPr>
          <w:rFonts w:hint="eastAsia" w:ascii="宋体" w:hAnsi="宋体" w:cs="宋体"/>
          <w:b/>
          <w:bCs/>
          <w:sz w:val="24"/>
          <w:szCs w:val="24"/>
          <w:highlight w:val="none"/>
          <w:lang w:eastAsia="zh-CN"/>
        </w:rPr>
        <w:t xml:space="preserve">）。</w:t>
      </w:r>
      <w:r/>
    </w:p>
    <w:p>
      <w:pPr>
        <w:ind w:firstLine="480"/>
        <w:pageBreakBefore w:val="0"/>
        <w:spacing w:line="48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5.采购需求（简介）：宿迁市市控水质自动监测站运行维护项目，包括仪器试剂、易损耗材、故障维修零配件、运维人员管理费用、车辆交通、安全管理、废液处置等；站点运行期间的电费、水费、防雷检测及光纤网络通讯费用；国、省、市考断面视频监控网络通讯费用。（详细内容见本磋商文件第四章）</w:t>
      </w:r>
      <w:r/>
    </w:p>
    <w:p>
      <w:pPr>
        <w:ind w:firstLine="480"/>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6.合同履行期限：自合同签订日起至2026年12月31日。 </w:t>
      </w:r>
      <w:r/>
    </w:p>
    <w:p>
      <w:pPr>
        <w:ind w:firstLine="480"/>
        <w:pageBreakBefore w:val="0"/>
        <w:spacing w:line="48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7.本项目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联合体参与磋商。</w:t>
      </w:r>
      <w:r/>
    </w:p>
    <w:p>
      <w:pPr>
        <w:ind w:firstLine="373"/>
        <w:pageBreakBefore w:val="0"/>
        <w:spacing w:line="480" w:lineRule="auto"/>
        <w:rPr>
          <w:rFonts w:hint="eastAsia" w:ascii="宋体" w:hAnsi="宋体" w:cs="宋体"/>
          <w:b/>
          <w:bCs/>
          <w:sz w:val="24"/>
          <w:szCs w:val="24"/>
          <w:highlight w:val="none"/>
        </w:rPr>
      </w:pPr>
      <w:r/>
      <w:bookmarkStart w:id="13" w:name="_Toc35393791"/>
      <w:r/>
      <w:bookmarkStart w:id="14" w:name="_Toc35393622"/>
      <w:r/>
      <w:bookmarkStart w:id="15" w:name="_Toc28359080"/>
      <w:r/>
      <w:bookmarkStart w:id="16" w:name="_Toc28359003"/>
      <w:r/>
      <w:bookmarkStart w:id="17" w:name="_Toc38985264"/>
      <w:r>
        <w:rPr>
          <w:rFonts w:hint="eastAsia" w:ascii="宋体" w:hAnsi="宋体" w:cs="宋体"/>
          <w:b/>
          <w:bCs/>
          <w:sz w:val="24"/>
          <w:szCs w:val="24"/>
          <w:highlight w:val="none"/>
        </w:rPr>
        <w:t xml:space="preserve">二、申请人的资格要求</w:t>
      </w:r>
      <w:bookmarkEnd w:id="13"/>
      <w:r/>
      <w:bookmarkEnd w:id="14"/>
      <w:r/>
      <w:bookmarkEnd w:id="15"/>
      <w:r/>
      <w:bookmarkEnd w:id="16"/>
      <w:r/>
      <w:bookmarkEnd w:id="17"/>
      <w:r/>
      <w:r/>
    </w:p>
    <w:p>
      <w:pPr>
        <w:ind w:firstLine="373"/>
        <w:keepLines/>
        <w:keepNext/>
        <w:pageBreakBefore w:val="0"/>
        <w:spacing w:line="480" w:lineRule="auto"/>
        <w:rPr>
          <w:rFonts w:hint="eastAsia" w:ascii="宋体" w:hAnsi="宋体" w:cs="宋体"/>
          <w:b w:val="0"/>
          <w:bCs w:val="0"/>
          <w:sz w:val="24"/>
          <w:szCs w:val="24"/>
          <w:highlight w:val="none"/>
        </w:rPr>
      </w:pPr>
      <w:r/>
      <w:bookmarkStart w:id="18" w:name="_Toc35393623"/>
      <w:r/>
      <w:bookmarkStart w:id="19" w:name="_Toc28359004"/>
      <w:r/>
      <w:bookmarkStart w:id="20" w:name="_Toc35393792"/>
      <w:r/>
      <w:bookmarkStart w:id="21" w:name="_Toc28359081"/>
      <w:r/>
      <w:bookmarkStart w:id="22" w:name="_Toc38985265"/>
      <w:r>
        <w:rPr>
          <w:rFonts w:hint="eastAsia" w:ascii="宋体" w:hAnsi="宋体" w:cs="宋体"/>
          <w:b w:val="0"/>
          <w:bCs w:val="0"/>
          <w:sz w:val="24"/>
          <w:szCs w:val="24"/>
          <w:highlight w:val="none"/>
        </w:rPr>
        <w:t xml:space="preserve">（一）满足《中华人民共和国政府采购法》第二十二条规定：</w:t>
      </w:r>
      <w:r/>
    </w:p>
    <w:p>
      <w:pPr>
        <w:ind w:firstLine="373"/>
        <w:keepLines/>
        <w:keepNext/>
        <w:pageBreakBefore w:val="0"/>
        <w:spacing w:line="48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1.具备《中华人民共和国政府采购法》第二十二条第一款规定的6项条件（按要求提供声明及信用承诺）；</w:t>
      </w:r>
      <w:r/>
    </w:p>
    <w:p>
      <w:pPr>
        <w:ind w:firstLine="373"/>
        <w:keepLines/>
        <w:keepNext/>
        <w:pageBreakBefore w:val="0"/>
        <w:spacing w:line="48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w:t>
      </w:r>
      <w:r>
        <w:rPr>
          <w:rFonts w:hint="eastAsia" w:ascii="宋体" w:hAnsi="宋体" w:cs="宋体"/>
          <w:b w:val="0"/>
          <w:bCs w:val="0"/>
          <w:sz w:val="24"/>
          <w:szCs w:val="24"/>
          <w:highlight w:val="none"/>
          <w:lang w:val="en-US" w:eastAsia="zh-CN"/>
        </w:rPr>
        <w:t xml:space="preserve">信用</w:t>
      </w:r>
      <w:r>
        <w:rPr>
          <w:rFonts w:hint="eastAsia" w:ascii="宋体" w:hAnsi="宋体" w:cs="宋体"/>
          <w:b w:val="0"/>
          <w:bCs w:val="0"/>
          <w:sz w:val="24"/>
          <w:szCs w:val="24"/>
          <w:highlight w:val="none"/>
        </w:rPr>
        <w:t xml:space="preserve">信息。信用信息查询渠道：“信用中国”网（www.creditchina.gov.cn）、“中国政府采购”网（www.ccgp.gov.cn）、江苏政府采购网（www.ccgp-jiangsu.gov.cn）。    </w:t>
      </w:r>
      <w:r/>
    </w:p>
    <w:p>
      <w:pPr>
        <w:ind w:firstLine="373"/>
        <w:keepLines/>
        <w:keepNext/>
        <w:pageBreakBefore w:val="0"/>
        <w:spacing w:line="48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中无需提供证明材料）。</w:t>
      </w:r>
      <w:r/>
    </w:p>
    <w:p>
      <w:pPr>
        <w:ind w:firstLine="373"/>
        <w:keepLines/>
        <w:keepNext/>
        <w:pageBreakBefore w:val="0"/>
        <w:spacing w:line="48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二</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rPr>
        <w:t xml:space="preserve">落实政府采购政策需满足的资格要求：</w:t>
      </w:r>
      <w:r/>
    </w:p>
    <w:p>
      <w:pPr>
        <w:ind w:firstLine="373"/>
        <w:keepLines/>
        <w:keepNext/>
        <w:pageBreakBefore w:val="0"/>
        <w:spacing w:line="48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本项目为专门面向中小企业（含监狱企业、残疾人福利企业）采购的项目,供应商须为中小微企业、监狱企业、残疾人福利性单位（须提供《中小企业或残疾人福利性单位声明函》</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或监狱企业证明文件</w:t>
      </w:r>
      <w:r>
        <w:rPr>
          <w:rFonts w:hint="eastAsia" w:ascii="宋体" w:hAnsi="宋体" w:cs="宋体"/>
          <w:b w:val="0"/>
          <w:bCs w:val="0"/>
          <w:sz w:val="24"/>
          <w:szCs w:val="24"/>
          <w:highlight w:val="none"/>
        </w:rPr>
        <w:t xml:space="preserve">）。非中小型企业参与本项目投标，将作无效标处理。</w:t>
      </w:r>
      <w:r/>
    </w:p>
    <w:p>
      <w:pPr>
        <w:ind w:firstLine="373"/>
        <w:keepLines/>
        <w:keepNext/>
        <w:pageBreakBefore w:val="0"/>
        <w:spacing w:line="48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三</w:t>
      </w:r>
      <w:r>
        <w:rPr>
          <w:rFonts w:hint="eastAsia" w:ascii="宋体" w:hAnsi="宋体" w:cs="宋体"/>
          <w:b w:val="0"/>
          <w:bCs w:val="0"/>
          <w:sz w:val="24"/>
          <w:szCs w:val="24"/>
          <w:highlight w:val="none"/>
        </w:rPr>
        <w:t xml:space="preserve">）本项目的特定资格要求</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无</w:t>
      </w: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 </w:t>
      </w:r>
      <w:r/>
    </w:p>
    <w:p>
      <w:pPr>
        <w:ind w:firstLine="373"/>
        <w:keepLines/>
        <w:keepNext/>
        <w:pageBreakBefore w:val="0"/>
        <w:spacing w:line="48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本项目实行电子招标投标。</w:t>
      </w:r>
      <w:r/>
    </w:p>
    <w:p>
      <w:pPr>
        <w:ind w:firstLine="373"/>
        <w:keepLines/>
        <w:keepNext/>
        <w:pageBreakBefore w:val="0"/>
        <w:spacing w:line="48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三、获取</w:t>
      </w:r>
      <w:bookmarkEnd w:id="18"/>
      <w:r/>
      <w:bookmarkEnd w:id="19"/>
      <w:r/>
      <w:bookmarkEnd w:id="20"/>
      <w:r/>
      <w:bookmarkEnd w:id="21"/>
      <w:r/>
      <w:bookmarkEnd w:id="22"/>
      <w:r>
        <w:rPr>
          <w:rFonts w:hint="eastAsia" w:ascii="宋体" w:hAnsi="宋体" w:cs="宋体"/>
          <w:b/>
          <w:bCs/>
          <w:sz w:val="24"/>
          <w:szCs w:val="24"/>
          <w:highlight w:val="none"/>
        </w:rPr>
        <w:t xml:space="preserve">磋商文件</w:t>
      </w:r>
      <w:r/>
    </w:p>
    <w:p>
      <w:pPr>
        <w:ind w:firstLine="480"/>
        <w:pageBreakBefore w:val="0"/>
        <w:spacing w:line="480" w:lineRule="auto"/>
        <w:rPr>
          <w:rFonts w:hint="eastAsia" w:ascii="Times New Roman" w:hAnsi="Times New Roman" w:cs="宋体"/>
          <w:color w:val="auto"/>
          <w:sz w:val="24"/>
          <w:szCs w:val="24"/>
          <w:highlight w:val="none"/>
        </w:rPr>
      </w:pPr>
      <w:r/>
      <w:bookmarkStart w:id="23" w:name="_Toc28359082"/>
      <w:r/>
      <w:bookmarkStart w:id="24" w:name="_Toc28359005"/>
      <w:r/>
      <w:bookmarkStart w:id="25" w:name="_Toc38985266"/>
      <w:r/>
      <w:bookmarkStart w:id="26" w:name="_Toc35393624"/>
      <w:r/>
      <w:bookmarkStart w:id="27" w:name="_Toc35393793"/>
      <w:r>
        <w:rPr>
          <w:rFonts w:hint="eastAsia" w:ascii="Times New Roman" w:hAnsi="Times New Roman" w:cs="宋体"/>
          <w:color w:val="auto"/>
          <w:sz w:val="24"/>
          <w:szCs w:val="24"/>
          <w:highlight w:val="none"/>
        </w:rPr>
        <w:t xml:space="preserve">1.时间：自磋商文件公告发布之日起5个工作日 </w:t>
      </w:r>
      <w:r/>
    </w:p>
    <w:p>
      <w:pPr>
        <w:ind w:firstLine="480"/>
        <w:pageBreakBefore w:val="0"/>
        <w:spacing w:line="48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rPr>
        <w:t xml:space="preserve">地点：“苏采云”系统（网址： http://jszfcg.jsczt.cn/）</w:t>
      </w:r>
      <w:r/>
    </w:p>
    <w:p>
      <w:pPr>
        <w:ind w:firstLine="480"/>
        <w:pageBreakBefore w:val="0"/>
        <w:spacing w:line="48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pageBreakBefore w:val="0"/>
        <w:spacing w:line="480" w:lineRule="auto"/>
        <w:rPr>
          <w:rFonts w:hint="eastAsia" w:ascii="Times New Roman" w:hAnsi="Times New Roman" w:cs="宋体"/>
          <w:color w:val="auto"/>
          <w:sz w:val="24"/>
          <w:szCs w:val="24"/>
          <w:highlight w:val="none"/>
          <w:u w:val="single"/>
        </w:rPr>
      </w:pPr>
      <w:r/>
      <w:bookmarkStart w:id="28" w:name="EB0c44ff4da61f4af989d119fe214be450"/>
      <w:r>
        <w:rPr>
          <w:rFonts w:hint="eastAsia" w:ascii="Times New Roman" w:hAnsi="Times New Roman" w:cs="仿宋_GB2312"/>
          <w:color w:val="auto"/>
          <w:sz w:val="24"/>
          <w:szCs w:val="28"/>
          <w:highlight w:val="none"/>
          <w:lang w:val="en-US" w:eastAsia="zh-CN"/>
        </w:rPr>
        <w:t xml:space="preserve">4</w:t>
      </w:r>
      <w:r>
        <w:rPr>
          <w:rFonts w:hint="eastAsia" w:ascii="Times New Roman" w:hAnsi="Times New Roman" w:cs="仿宋_GB2312"/>
          <w:color w:val="auto"/>
          <w:sz w:val="24"/>
          <w:szCs w:val="28"/>
          <w:highlight w:val="none"/>
        </w:rPr>
        <w:t xml:space="preserve">.本项目共分一个包。供应商未按要求获取竞争性磋商文件导致无法磋商的，后果自负（其响应文件不予接受）。</w:t>
      </w:r>
      <w:bookmarkEnd w:id="28"/>
      <w:r/>
      <w:r/>
    </w:p>
    <w:p>
      <w:pPr>
        <w:ind w:firstLine="373"/>
        <w:pageBreakBefore w:val="0"/>
        <w:spacing w:line="48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四、提交</w:t>
      </w:r>
      <w:bookmarkEnd w:id="23"/>
      <w:r/>
      <w:bookmarkEnd w:id="24"/>
      <w:r>
        <w:rPr>
          <w:rFonts w:hint="eastAsia" w:ascii="宋体" w:hAnsi="宋体" w:cs="宋体"/>
          <w:b/>
          <w:bCs/>
          <w:sz w:val="24"/>
          <w:szCs w:val="24"/>
          <w:highlight w:val="none"/>
        </w:rPr>
        <w:t xml:space="preserve">响应文件截止时间</w:t>
      </w:r>
      <w:bookmarkEnd w:id="25"/>
      <w:r/>
      <w:bookmarkEnd w:id="26"/>
      <w:r/>
      <w:bookmarkEnd w:id="27"/>
      <w:r/>
      <w:r/>
    </w:p>
    <w:p>
      <w:pPr>
        <w:ind w:firstLine="480"/>
        <w:pageBreakBefore w:val="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1.提交响应文件截止时间、磋商时间：</w:t>
      </w:r>
      <w:r>
        <w:rPr>
          <w:rFonts w:hint="eastAsia" w:ascii="宋体" w:hAnsi="宋体" w:cs="宋体"/>
          <w:b/>
          <w:bCs/>
          <w:sz w:val="24"/>
          <w:szCs w:val="24"/>
          <w:highlight w:val="none"/>
          <w:lang w:val="en-US" w:eastAsia="zh-CN"/>
        </w:rPr>
        <w:t xml:space="preserve">2026</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30</w:t>
      </w:r>
      <w:r>
        <w:rPr>
          <w:rFonts w:hint="eastAsia" w:ascii="宋体" w:hAnsi="宋体" w:cs="宋体"/>
          <w:b/>
          <w:bCs/>
          <w:sz w:val="24"/>
          <w:szCs w:val="24"/>
          <w:highlight w:val="none"/>
        </w:rPr>
        <w:t xml:space="preserve">日</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时</w:t>
      </w:r>
      <w:r>
        <w:rPr>
          <w:rFonts w:hint="eastAsia" w:ascii="宋体" w:hAnsi="宋体" w:cs="宋体"/>
          <w:b/>
          <w:bCs/>
          <w:sz w:val="24"/>
          <w:szCs w:val="24"/>
          <w:highlight w:val="none"/>
          <w:lang w:val="en-US" w:eastAsia="zh-CN"/>
        </w:rPr>
        <w:t xml:space="preserve">30</w:t>
      </w:r>
      <w:r>
        <w:rPr>
          <w:rFonts w:hint="eastAsia" w:ascii="宋体" w:hAnsi="宋体" w:cs="宋体"/>
          <w:b/>
          <w:bCs/>
          <w:sz w:val="24"/>
          <w:szCs w:val="24"/>
          <w:highlight w:val="none"/>
        </w:rPr>
        <w:t xml:space="preserve">分</w:t>
      </w:r>
      <w:r>
        <w:rPr>
          <w:rFonts w:hint="eastAsia" w:ascii="宋体" w:hAnsi="宋体" w:cs="宋体"/>
          <w:bCs/>
          <w:sz w:val="24"/>
          <w:szCs w:val="24"/>
          <w:highlight w:val="none"/>
        </w:rPr>
        <w:t xml:space="preserve">（北京时间）。</w:t>
      </w:r>
      <w:r/>
    </w:p>
    <w:p>
      <w:pPr>
        <w:ind w:firstLine="480"/>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2.地点：“苏采云”政府采购交易系统网上开标大厅。</w:t>
      </w:r>
      <w:r/>
    </w:p>
    <w:p>
      <w:pPr>
        <w:ind w:firstLine="480"/>
        <w:pageBreakBefore w:val="0"/>
        <w:spacing w:line="480" w:lineRule="auto"/>
        <w:rPr>
          <w:rFonts w:hint="eastAsia" w:ascii="宋体" w:hAnsi="宋体" w:cs="宋体"/>
          <w:sz w:val="24"/>
          <w:szCs w:val="24"/>
          <w:highlight w:val="none"/>
        </w:rPr>
      </w:pPr>
      <w:r/>
      <w:bookmarkStart w:id="29" w:name="_Toc35393625"/>
      <w:r/>
      <w:bookmarkStart w:id="30" w:name="_Toc38985267"/>
      <w:r/>
      <w:bookmarkStart w:id="31" w:name="_Toc35393794"/>
      <w:r/>
      <w:bookmarkStart w:id="32" w:name="_Toc28359007"/>
      <w:r/>
      <w:bookmarkStart w:id="33" w:name="_Toc28359084"/>
      <w:r>
        <w:rPr>
          <w:rFonts w:hint="eastAsia" w:ascii="宋体" w:hAnsi="宋体" w:cs="宋体"/>
          <w:b/>
          <w:bCs/>
          <w:sz w:val="24"/>
          <w:szCs w:val="24"/>
          <w:highlight w:val="none"/>
        </w:rPr>
        <w:t xml:space="preserve">五、公告期限</w:t>
      </w:r>
      <w:bookmarkEnd w:id="29"/>
      <w:r/>
      <w:bookmarkEnd w:id="30"/>
      <w:r/>
      <w:bookmarkEnd w:id="31"/>
      <w:r/>
      <w:bookmarkEnd w:id="32"/>
      <w:r/>
      <w:bookmarkEnd w:id="33"/>
      <w:r/>
      <w:bookmarkStart w:id="34" w:name="_Toc35393626"/>
      <w:r/>
      <w:bookmarkStart w:id="35" w:name="_Toc35393795"/>
      <w:r/>
      <w:bookmarkStart w:id="36" w:name="_Toc38985268"/>
      <w:r/>
      <w:r/>
    </w:p>
    <w:p>
      <w:pPr>
        <w:ind w:firstLine="480"/>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磋商公告及磋商文件公告期限为自本公告发布之日起3个工作日。采购公告发布媒体：宿迁市政府采购网、宿迁市公共资源交易平台、江苏省财政部门指定的媒体。</w:t>
      </w:r>
      <w:r/>
    </w:p>
    <w:p>
      <w:pPr>
        <w:ind w:firstLine="480"/>
        <w:pageBreakBefore w:val="0"/>
        <w:spacing w:line="480" w:lineRule="auto"/>
        <w:rPr>
          <w:rFonts w:hint="eastAsia" w:ascii="宋体" w:hAnsi="宋体" w:cs="宋体"/>
          <w:sz w:val="24"/>
          <w:szCs w:val="24"/>
          <w:highlight w:val="none"/>
        </w:rPr>
      </w:pPr>
      <w:r>
        <w:rPr>
          <w:rFonts w:hint="eastAsia" w:ascii="宋体" w:hAnsi="宋体" w:cs="宋体"/>
          <w:b/>
          <w:bCs/>
          <w:sz w:val="24"/>
          <w:szCs w:val="24"/>
          <w:highlight w:val="none"/>
        </w:rPr>
        <w:t xml:space="preserve">六、其他补充事宜</w:t>
      </w:r>
      <w:bookmarkEnd w:id="34"/>
      <w:r/>
      <w:bookmarkEnd w:id="35"/>
      <w:r/>
      <w:bookmarkEnd w:id="36"/>
      <w:r/>
      <w:r/>
    </w:p>
    <w:p>
      <w:pPr>
        <w:ind w:firstLine="480"/>
        <w:pageBreakBefore w:val="0"/>
        <w:spacing w:line="480" w:lineRule="auto"/>
        <w:rPr>
          <w:rFonts w:hint="eastAsia" w:ascii="Times New Roman" w:hAnsi="Times New Roman" w:eastAsia="宋体"/>
          <w:color w:val="auto"/>
          <w:sz w:val="24"/>
          <w:highlight w:val="none"/>
        </w:rPr>
      </w:pPr>
      <w:r/>
      <w:bookmarkStart w:id="37" w:name="EB64e1f522fd8c43fcb4d3ba471386b3e7"/>
      <w:r/>
      <w:bookmarkStart w:id="38" w:name="_Toc35393796"/>
      <w:r/>
      <w:bookmarkStart w:id="39" w:name="_Toc38985269"/>
      <w:r/>
      <w:bookmarkStart w:id="40" w:name="_Toc35393627"/>
      <w:r/>
      <w:bookmarkStart w:id="41" w:name="_Toc28359008"/>
      <w:r/>
      <w:bookmarkStart w:id="42" w:name="_Toc28359085"/>
      <w:r>
        <w:rPr>
          <w:rFonts w:hint="eastAsia" w:ascii="Times New Roman" w:hAnsi="Times New Roman" w:eastAsia="宋体"/>
          <w:color w:val="auto"/>
          <w:sz w:val="24"/>
          <w:highlight w:val="none"/>
        </w:rPr>
        <w:t xml:space="preserve">1.财政部门监督电话：</w:t>
      </w:r>
      <w:r>
        <w:rPr>
          <w:rFonts w:hint="eastAsia" w:ascii="Times New Roman" w:hAnsi="Times New Roman" w:eastAsia="宋体"/>
          <w:color w:val="auto"/>
          <w:sz w:val="24"/>
          <w:highlight w:val="none"/>
          <w:lang w:val="en-US" w:eastAsia="zh-CN"/>
        </w:rPr>
        <w:t xml:space="preserve">0527-84363063</w:t>
      </w:r>
      <w:r>
        <w:rPr>
          <w:rFonts w:hint="eastAsia" w:ascii="Times New Roman" w:hAnsi="Times New Roman" w:eastAsia="宋体"/>
          <w:color w:val="auto"/>
          <w:sz w:val="24"/>
          <w:highlight w:val="none"/>
        </w:rPr>
        <w:t xml:space="preserve">。</w:t>
      </w:r>
      <w:r/>
    </w:p>
    <w:p>
      <w:pPr>
        <w:ind w:firstLine="480"/>
        <w:pageBreakBefore w:val="0"/>
        <w:spacing w:line="48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080"/>
        <w:ind w:firstLine="480"/>
        <w:pageBreakBefore w:val="0"/>
        <w:spacing w:line="480" w:lineRule="auto"/>
        <w:rPr>
          <w:rFonts w:hint="eastAsia"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3.宿迁地区“苏采云”技术支持客服电话：0527-84225125、0519-86722806。</w:t>
      </w:r>
      <w:r/>
    </w:p>
    <w:p>
      <w:pPr>
        <w:pStyle w:val="1080"/>
        <w:ind w:firstLine="480"/>
        <w:pageBreakBefore w:val="0"/>
        <w:spacing w:line="480" w:lineRule="auto"/>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37"/>
      <w:r/>
      <w:r/>
    </w:p>
    <w:p>
      <w:pPr>
        <w:ind w:firstLine="480"/>
        <w:pageBreakBefore w:val="0"/>
        <w:spacing w:line="480" w:lineRule="auto"/>
        <w:rPr>
          <w:rFonts w:hint="eastAsia" w:ascii="Times New Roman" w:hAnsi="Times New Roman"/>
          <w:b/>
          <w:bCs/>
          <w:color w:val="auto"/>
          <w:sz w:val="32"/>
          <w:szCs w:val="32"/>
          <w:highlight w:val="none"/>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rPr>
        <w:t xml:space="preserve">.现场勘察及答疑：本项目不组织集中勘察及答疑，供应商如对采购需求有疑问，请咨询采购单位联系人。</w:t>
      </w:r>
      <w:r/>
    </w:p>
    <w:p>
      <w:pPr>
        <w:ind w:firstLine="373"/>
        <w:keepLines/>
        <w:keepNext/>
        <w:pageBreakBefore w:val="0"/>
        <w:spacing w:line="48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七、本次磋商联系方式</w:t>
      </w:r>
      <w:bookmarkEnd w:id="38"/>
      <w:r/>
      <w:bookmarkEnd w:id="39"/>
      <w:r/>
      <w:bookmarkEnd w:id="40"/>
      <w:r/>
      <w:bookmarkEnd w:id="41"/>
      <w:r/>
      <w:bookmarkEnd w:id="42"/>
      <w:r/>
      <w:r/>
    </w:p>
    <w:p>
      <w:pPr>
        <w:ind w:firstLine="480"/>
        <w:jc w:val="left"/>
        <w:pageBreakBefore w:val="0"/>
        <w:spacing w:line="48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jc w:val="left"/>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名 称：宿迁市生态环境监测监控服务中心</w:t>
      </w:r>
      <w:r/>
    </w:p>
    <w:p>
      <w:pPr>
        <w:ind w:firstLine="480"/>
        <w:jc w:val="left"/>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地址：宿迁市宿豫区银桂路软件园B1号楼</w:t>
      </w:r>
      <w:r/>
    </w:p>
    <w:p>
      <w:pPr>
        <w:ind w:firstLine="480"/>
        <w:jc w:val="left"/>
        <w:pageBreakBefore w:val="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rPr>
        <w:t xml:space="preserve">李</w:t>
      </w:r>
      <w:r>
        <w:rPr>
          <w:rFonts w:hint="eastAsia" w:ascii="宋体" w:hAnsi="宋体" w:cs="宋体"/>
          <w:sz w:val="24"/>
          <w:szCs w:val="24"/>
          <w:highlight w:val="none"/>
        </w:rPr>
        <w:t xml:space="preserve">浩</w:t>
      </w:r>
      <w:r>
        <w:rPr>
          <w:rFonts w:hint="eastAsia" w:ascii="宋体" w:hAnsi="宋体" w:cs="宋体"/>
          <w:sz w:val="24"/>
          <w:szCs w:val="24"/>
          <w:highlight w:val="none"/>
        </w:rPr>
        <w:t xml:space="preserve">            </w:t>
      </w:r>
      <w:r/>
    </w:p>
    <w:p>
      <w:pPr>
        <w:ind w:firstLine="480"/>
        <w:jc w:val="left"/>
        <w:pageBreakBefore w:val="0"/>
        <w:spacing w:line="48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43" w:name="_Toc28359086"/>
      <w:r/>
      <w:bookmarkStart w:id="44" w:name="_Toc28359009"/>
      <w:r>
        <w:rPr>
          <w:rFonts w:hint="eastAsia" w:ascii="宋体" w:hAnsi="宋体" w:cs="宋体"/>
          <w:sz w:val="24"/>
          <w:szCs w:val="24"/>
          <w:highlight w:val="none"/>
        </w:rPr>
        <w:t xml:space="preserve">0527-8433</w:t>
      </w:r>
      <w:r>
        <w:rPr>
          <w:rFonts w:hint="eastAsia" w:ascii="宋体" w:hAnsi="宋体" w:cs="宋体"/>
          <w:sz w:val="24"/>
          <w:szCs w:val="24"/>
          <w:highlight w:val="none"/>
          <w:lang w:val="en-US" w:eastAsia="zh-CN"/>
        </w:rPr>
        <w:t xml:space="preserve">8637</w:t>
      </w:r>
      <w:bookmarkEnd w:id="43"/>
      <w:r/>
      <w:bookmarkEnd w:id="44"/>
      <w:r/>
      <w:r/>
    </w:p>
    <w:p>
      <w:pPr>
        <w:ind w:firstLine="373"/>
        <w:keepLines/>
        <w:keepNext/>
        <w:pageBreakBefore w:val="0"/>
        <w:spacing w:line="48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2.采购代理机构信息</w:t>
      </w:r>
      <w:r/>
    </w:p>
    <w:p>
      <w:pPr>
        <w:ind w:firstLine="373"/>
        <w:keepLines/>
        <w:keepNext/>
        <w:pageBreakBefore w:val="0"/>
        <w:spacing w:line="480" w:lineRule="auto"/>
        <w:rPr>
          <w:rFonts w:hint="eastAsia" w:ascii="宋体" w:hAnsi="宋体" w:cs="宋体"/>
          <w:b w:val="0"/>
          <w:bCs w:val="0"/>
          <w:sz w:val="24"/>
          <w:szCs w:val="24"/>
          <w:highlight w:val="none"/>
        </w:rPr>
      </w:pPr>
      <w:r/>
      <w:bookmarkStart w:id="45" w:name="_Toc28359087"/>
      <w:r/>
      <w:bookmarkStart w:id="46" w:name="_Toc28359010"/>
      <w:r>
        <w:rPr>
          <w:rFonts w:hint="eastAsia" w:ascii="宋体" w:hAnsi="宋体" w:cs="宋体"/>
          <w:b w:val="0"/>
          <w:bCs w:val="0"/>
          <w:sz w:val="24"/>
          <w:szCs w:val="24"/>
          <w:highlight w:val="none"/>
        </w:rPr>
        <w:t xml:space="preserve">名 称：</w:t>
      </w:r>
      <w:bookmarkStart w:id="47" w:name="EB428b58a0efec4a7f97890403ab826602"/>
      <w:r>
        <w:rPr>
          <w:rFonts w:hint="eastAsia" w:ascii="宋体" w:hAnsi="宋体" w:cs="宋体"/>
          <w:b w:val="0"/>
          <w:bCs w:val="0"/>
          <w:sz w:val="24"/>
          <w:szCs w:val="24"/>
          <w:highlight w:val="none"/>
        </w:rPr>
        <w:t xml:space="preserve">江苏天园项目管理集团有限公司</w:t>
      </w:r>
      <w:bookmarkEnd w:id="47"/>
      <w:r/>
      <w:r/>
    </w:p>
    <w:p>
      <w:pPr>
        <w:ind w:firstLine="373"/>
        <w:keepLines/>
        <w:keepNext/>
        <w:pageBreakBefore w:val="0"/>
        <w:spacing w:line="480" w:lineRule="auto"/>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rPr>
        <w:t xml:space="preserve">地址：</w:t>
      </w:r>
      <w:r>
        <w:rPr>
          <w:rFonts w:hint="eastAsia" w:ascii="宋体" w:hAnsi="宋体" w:cs="宋体"/>
          <w:b w:val="0"/>
          <w:bCs w:val="0"/>
          <w:sz w:val="24"/>
          <w:szCs w:val="24"/>
          <w:highlight w:val="none"/>
          <w:lang w:eastAsia="zh-CN"/>
        </w:rPr>
        <w:t xml:space="preserve">宿迁市宿城区迅驰路23号(天园大厦)</w:t>
      </w:r>
      <w:r>
        <w:rPr>
          <w:rFonts w:hint="eastAsia" w:ascii="宋体" w:hAnsi="宋体" w:cs="宋体"/>
          <w:b w:val="0"/>
          <w:bCs w:val="0"/>
          <w:sz w:val="24"/>
          <w:szCs w:val="24"/>
          <w:highlight w:val="none"/>
          <w:lang w:val="en-US" w:eastAsia="zh-CN"/>
        </w:rPr>
        <w:t xml:space="preserve">三</w:t>
      </w:r>
      <w:r>
        <w:rPr>
          <w:rFonts w:hint="eastAsia" w:ascii="宋体" w:hAnsi="宋体" w:cs="宋体"/>
          <w:b w:val="0"/>
          <w:bCs w:val="0"/>
          <w:sz w:val="24"/>
          <w:szCs w:val="24"/>
          <w:highlight w:val="none"/>
          <w:lang w:eastAsia="zh-CN"/>
        </w:rPr>
        <w:t xml:space="preserve">楼</w:t>
      </w:r>
      <w:r/>
    </w:p>
    <w:p>
      <w:pPr>
        <w:ind w:firstLine="373"/>
        <w:keepLines/>
        <w:keepNext/>
        <w:pageBreakBefore w:val="0"/>
        <w:spacing w:line="48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联系人：</w:t>
      </w:r>
      <w:r>
        <w:rPr>
          <w:rFonts w:hint="eastAsia" w:ascii="宋体" w:hAnsi="宋体" w:cs="宋体"/>
          <w:b w:val="0"/>
          <w:bCs w:val="0"/>
          <w:sz w:val="24"/>
          <w:szCs w:val="24"/>
          <w:highlight w:val="none"/>
          <w:lang w:val="en-US" w:eastAsia="zh-CN"/>
        </w:rPr>
        <w:t xml:space="preserve">王曼曼</w:t>
      </w:r>
      <w:r/>
    </w:p>
    <w:p>
      <w:pPr>
        <w:ind w:firstLine="373"/>
        <w:keepLines/>
        <w:keepNext/>
        <w:pageBreakBefore w:val="0"/>
        <w:spacing w:line="480" w:lineRule="auto"/>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rPr>
        <w:t xml:space="preserve">联系方式：0527-8881</w:t>
      </w:r>
      <w:r>
        <w:rPr>
          <w:rFonts w:hint="eastAsia" w:ascii="宋体" w:hAnsi="宋体" w:cs="宋体"/>
          <w:b w:val="0"/>
          <w:bCs w:val="0"/>
          <w:sz w:val="24"/>
          <w:szCs w:val="24"/>
          <w:highlight w:val="none"/>
          <w:lang w:val="en-US" w:eastAsia="zh-CN"/>
        </w:rPr>
        <w:t xml:space="preserve">1910</w:t>
      </w:r>
      <w:bookmarkEnd w:id="45"/>
      <w:r/>
      <w:bookmarkEnd w:id="46"/>
      <w:r/>
      <w:r/>
    </w:p>
    <w:p>
      <w:pPr>
        <w:ind w:firstLine="373"/>
        <w:keepLines/>
        <w:keepNext/>
        <w:pageBreakBefore w:val="0"/>
        <w:spacing w:line="48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八、其他</w:t>
      </w:r>
      <w:r/>
    </w:p>
    <w:p>
      <w:pPr>
        <w:ind w:firstLine="480"/>
        <w:pageBreakBefore w:val="0"/>
        <w:spacing w:line="480" w:lineRule="auto"/>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1.有关本次采购的事项若存在变动或修改，敬请及时关注“宿迁市政府采购网”等平台更正公告。</w:t>
      </w:r>
      <w:r/>
    </w:p>
    <w:p>
      <w:pPr>
        <w:ind w:firstLine="480"/>
        <w:pageBreakBefore w:val="0"/>
        <w:spacing w:line="480" w:lineRule="auto"/>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2.本次磋商不收取磋商保证金。</w:t>
      </w:r>
      <w:r/>
    </w:p>
    <w:p>
      <w:pPr>
        <w:ind w:right="840"/>
        <w:rPr>
          <w:rFonts w:hint="eastAsia" w:ascii="宋体" w:hAnsi="宋体" w:cs="宋体"/>
          <w:sz w:val="24"/>
          <w:szCs w:val="24"/>
          <w:highlight w:val="none"/>
        </w:rPr>
      </w:pPr>
      <w:r>
        <w:rPr>
          <w:rFonts w:hint="eastAsia" w:ascii="宋体" w:hAnsi="宋体" w:cs="宋体"/>
          <w:sz w:val="24"/>
          <w:szCs w:val="24"/>
          <w:highlight w:val="none"/>
        </w:rPr>
      </w:r>
      <w:r/>
    </w:p>
    <w:p>
      <w:pPr>
        <w:jc w:val="center"/>
        <w:keepLines/>
        <w:keepNext/>
        <w:pageBreakBefore w:val="0"/>
        <w:spacing w:before="260" w:after="260" w:line="416" w:lineRule="auto"/>
        <w:widowControl w:val="off"/>
        <w:rPr>
          <w:rFonts w:ascii="Times New Roman" w:hAnsi="Times New Roman" w:eastAsia="黑体" w:cs="Arial"/>
          <w:b/>
          <w:bCs/>
          <w:color w:val="auto"/>
          <w:sz w:val="44"/>
          <w:szCs w:val="44"/>
          <w:highlight w:val="none"/>
        </w:rPr>
        <w:outlineLvl w:val="0"/>
      </w:pPr>
      <w:r/>
      <w:bookmarkStart w:id="48" w:name="_Toc120614211"/>
      <w:r>
        <w:rPr>
          <w:rFonts w:hint="eastAsia" w:ascii="宋体" w:hAnsi="宋体" w:cs="宋体"/>
          <w:b/>
          <w:bCs/>
          <w:sz w:val="44"/>
          <w:szCs w:val="44"/>
          <w:highlight w:val="none"/>
        </w:rPr>
        <w:br w:type="page" w:clear="all"/>
      </w:r>
      <w:bookmarkStart w:id="49" w:name="_Toc25629"/>
      <w:r/>
      <w:bookmarkStart w:id="50" w:name="_Toc9874"/>
      <w:r>
        <w:rPr>
          <w:rFonts w:hint="eastAsia" w:ascii="Times New Roman" w:hAnsi="Times New Roman" w:eastAsia="黑体" w:cs="Arial"/>
          <w:b/>
          <w:bCs/>
          <w:color w:val="auto"/>
          <w:sz w:val="44"/>
          <w:szCs w:val="44"/>
          <w:highlight w:val="none"/>
        </w:rPr>
        <w:t xml:space="preserve">第二章  供应商须知</w:t>
      </w:r>
      <w:bookmarkEnd w:id="49"/>
      <w:r/>
      <w:r/>
    </w:p>
    <w:p>
      <w:pPr>
        <w:ind w:firstLine="498"/>
        <w:keepLines/>
        <w:keepNext/>
        <w:pageBreakBefore w:val="0"/>
        <w:spacing w:line="560" w:lineRule="exact"/>
        <w:widowControl w:val="off"/>
        <w:rPr>
          <w:rFonts w:hint="eastAsia" w:ascii="Times New Roman" w:hAnsi="Times New Roman"/>
          <w:b/>
          <w:bCs/>
          <w:color w:val="auto"/>
          <w:sz w:val="32"/>
          <w:szCs w:val="32"/>
          <w:highlight w:val="none"/>
        </w:rPr>
        <w:outlineLvl w:val="2"/>
      </w:pPr>
      <w:r/>
      <w:bookmarkStart w:id="51" w:name="_Toc4585"/>
      <w:r>
        <w:rPr>
          <w:rFonts w:hint="eastAsia" w:ascii="Times New Roman" w:hAnsi="Times New Roman"/>
          <w:b/>
          <w:bCs/>
          <w:color w:val="auto"/>
          <w:sz w:val="32"/>
          <w:szCs w:val="32"/>
          <w:highlight w:val="none"/>
        </w:rPr>
        <w:t xml:space="preserve">一、总则</w:t>
      </w:r>
      <w:bookmarkEnd w:id="51"/>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1、采购方式</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2、合格的供应商</w:t>
      </w:r>
      <w:r/>
    </w:p>
    <w:p>
      <w:pPr>
        <w:ind w:firstLine="480"/>
        <w:pageBreakBefore w:val="0"/>
        <w:spacing w:line="56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2.1满足磋商公告中供应商资格要求的规定。</w:t>
      </w:r>
      <w:r/>
    </w:p>
    <w:p>
      <w:pPr>
        <w:ind w:firstLine="480"/>
        <w:pageBreakBefore w:val="0"/>
        <w:spacing w:line="56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2.2 满足本磋商文件实质性要求和条件的规定。</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3、适用法律</w:t>
      </w:r>
      <w:r/>
    </w:p>
    <w:p>
      <w:pPr>
        <w:ind w:firstLine="480"/>
        <w:pageBreakBefore w:val="0"/>
        <w:spacing w:line="56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3.1 本次磋商及由此产生的合同受中华人民共和国有关的法律法规制约和保护。</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4、磋商费用</w:t>
      </w:r>
      <w:r/>
    </w:p>
    <w:p>
      <w:pPr>
        <w:ind w:firstLine="480"/>
        <w:pageBreakBefore w:val="0"/>
        <w:spacing w:line="56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4.2代理费用收取方式及标准：按以下第</w:t>
      </w:r>
      <w:r>
        <w:rPr>
          <w:rFonts w:hint="eastAsia" w:ascii="Times New Roman" w:hAnsi="Times New Roman" w:eastAsia="宋体" w:cs="Times New Roman"/>
          <w:color w:val="auto"/>
          <w:sz w:val="24"/>
          <w:szCs w:val="21"/>
          <w:highlight w:val="none"/>
          <w:u w:val="single"/>
          <w:lang w:val="zh-CN"/>
        </w:rPr>
        <w:t xml:space="preserve">4.2.2</w:t>
      </w:r>
      <w:r>
        <w:rPr>
          <w:rFonts w:hint="eastAsia" w:ascii="Times New Roman" w:hAnsi="Times New Roman" w:eastAsia="宋体" w:cs="Times New Roman"/>
          <w:color w:val="auto"/>
          <w:sz w:val="24"/>
          <w:szCs w:val="21"/>
          <w:highlight w:val="none"/>
        </w:rPr>
        <w:t xml:space="preserve"> 种方式执行</w:t>
      </w:r>
      <w:r/>
    </w:p>
    <w:p>
      <w:pPr>
        <w:ind w:firstLine="480"/>
        <w:pageBreakBefore w:val="0"/>
        <w:spacing w:line="560" w:lineRule="exact"/>
        <w:widowControl w:val="off"/>
        <w:rPr>
          <w:rFonts w:hint="eastAsia" w:ascii="Times New Roman" w:hAnsi="Times New Roman" w:eastAsia="宋体" w:cs="Times New Roman"/>
          <w:color w:val="auto"/>
          <w:sz w:val="24"/>
          <w:szCs w:val="21"/>
          <w:highlight w:val="none"/>
          <w:lang w:val="zh-CN"/>
        </w:rPr>
      </w:pPr>
      <w:r>
        <w:rPr>
          <w:rFonts w:hint="eastAsia" w:ascii="Times New Roman" w:hAnsi="Times New Roman" w:eastAsia="宋体" w:cs="Times New Roman"/>
          <w:color w:val="auto"/>
          <w:sz w:val="24"/>
          <w:szCs w:val="21"/>
          <w:highlight w:val="none"/>
          <w:lang w:val="zh-CN"/>
        </w:rPr>
        <w:t xml:space="preserve">4.2.1无需支付；</w:t>
      </w:r>
      <w:r/>
    </w:p>
    <w:p>
      <w:pPr>
        <w:ind w:firstLine="480"/>
        <w:pageBreakBefore w:val="0"/>
        <w:spacing w:line="560" w:lineRule="exact"/>
        <w:widowControl w:val="off"/>
        <w:rPr>
          <w:rFonts w:hint="default" w:ascii="Times New Roman" w:hAnsi="Times New Roman" w:eastAsia="宋体" w:cs="Times New Roman"/>
          <w:color w:val="auto"/>
          <w:sz w:val="24"/>
          <w:szCs w:val="21"/>
          <w:highlight w:val="none"/>
          <w:lang w:val="en-US" w:eastAsia="zh-CN"/>
        </w:rPr>
      </w:pPr>
      <w:r>
        <w:rPr>
          <w:rFonts w:hint="eastAsia" w:ascii="Times New Roman" w:hAnsi="Times New Roman" w:eastAsia="宋体" w:cs="Times New Roman"/>
          <w:color w:val="auto"/>
          <w:sz w:val="24"/>
          <w:szCs w:val="21"/>
          <w:highlight w:val="none"/>
          <w:lang w:val="zh-CN"/>
        </w:rPr>
        <w:t xml:space="preserve">4.2.2采购人支付，具体方式及标准为：</w:t>
      </w:r>
      <w:bookmarkStart w:id="52" w:name="EB494c0bc35e674ba8ba0c8d892ff35fa5"/>
      <w:r>
        <w:rPr>
          <w:rFonts w:hint="eastAsia" w:ascii="Times New Roman" w:hAnsi="Times New Roman" w:eastAsia="宋体" w:cs="Times New Roman"/>
          <w:color w:val="auto"/>
          <w:sz w:val="24"/>
          <w:szCs w:val="21"/>
          <w:highlight w:val="none"/>
          <w:u w:val="single"/>
          <w:lang w:val="zh-CN"/>
        </w:rPr>
        <w:t xml:space="preserve">按照代理合同约定向代理单位支付代理服务费。</w:t>
      </w:r>
      <w:bookmarkEnd w:id="52"/>
      <w:r>
        <w:rPr>
          <w:rFonts w:hint="eastAsia" w:ascii="Times New Roman" w:hAnsi="Times New Roman" w:eastAsia="宋体" w:cs="Times New Roman"/>
          <w:color w:val="auto"/>
          <w:sz w:val="24"/>
          <w:szCs w:val="21"/>
          <w:highlight w:val="none"/>
          <w:u w:val="single"/>
          <w:lang w:val="zh-CN"/>
        </w:rPr>
        <w:t xml:space="preserve">支付方式可以通过转账或数字人民币等方式</w:t>
      </w:r>
      <w:r>
        <w:rPr>
          <w:rFonts w:hint="eastAsia" w:ascii="Times New Roman" w:hAnsi="Times New Roman" w:eastAsia="宋体" w:cs="Times New Roman"/>
          <w:color w:val="auto"/>
          <w:sz w:val="24"/>
          <w:szCs w:val="21"/>
          <w:highlight w:val="none"/>
          <w:u w:val="single"/>
          <w:lang w:val="en-US" w:eastAsia="zh-CN"/>
        </w:rPr>
        <w:t xml:space="preserve">。 </w:t>
      </w:r>
      <w:r>
        <w:rPr>
          <w:rFonts w:hint="eastAsia" w:ascii="Times New Roman" w:hAnsi="Times New Roman" w:eastAsia="宋体" w:cs="Times New Roman"/>
          <w:color w:val="auto"/>
          <w:sz w:val="24"/>
          <w:szCs w:val="21"/>
          <w:highlight w:val="none"/>
          <w:lang w:val="en-US" w:eastAsia="zh-CN"/>
        </w:rPr>
        <w:t xml:space="preserve"> </w:t>
      </w:r>
      <w:r/>
    </w:p>
    <w:p>
      <w:pPr>
        <w:ind w:firstLine="602"/>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b/>
          <w:bCs/>
          <w:color w:val="auto"/>
          <w:sz w:val="30"/>
          <w:szCs w:val="28"/>
          <w:highlight w:val="none"/>
        </w:rPr>
        <w:t xml:space="preserve">5、</w:t>
      </w:r>
      <w:r>
        <w:rPr>
          <w:rFonts w:hint="eastAsia" w:ascii="Times New Roman" w:hAnsi="Times New Roman" w:eastAsia="黑体" w:cs="Arial"/>
          <w:color w:val="auto"/>
          <w:sz w:val="28"/>
          <w:szCs w:val="28"/>
          <w:highlight w:val="none"/>
        </w:rPr>
        <w:t xml:space="preserve">磋商文件的约束力</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bCs/>
          <w:color w:val="auto"/>
          <w:sz w:val="24"/>
          <w:szCs w:val="24"/>
          <w:highlight w:val="none"/>
        </w:rPr>
        <w:t xml:space="preserve">5.1</w:t>
      </w:r>
      <w:r>
        <w:rPr>
          <w:rFonts w:hint="eastAsia" w:ascii="Times New Roman" w:hAnsi="Times New Roman"/>
          <w:color w:val="auto"/>
          <w:sz w:val="24"/>
          <w:szCs w:val="24"/>
          <w:highlight w:val="none"/>
        </w:rPr>
        <w:t xml:space="preserve">供应商一旦参加本项目采购活动，即被认为接受了本磋商文件的规定和约束。</w:t>
      </w:r>
      <w:r/>
    </w:p>
    <w:p>
      <w:pPr>
        <w:ind w:firstLine="321"/>
        <w:keepLines/>
        <w:keepNext/>
        <w:pageBreakBefore w:val="0"/>
        <w:spacing w:line="560" w:lineRule="exact"/>
        <w:widowControl w:val="off"/>
        <w:rPr>
          <w:rFonts w:hint="eastAsia" w:ascii="Times New Roman" w:hAnsi="Times New Roman"/>
          <w:b/>
          <w:bCs/>
          <w:color w:val="auto"/>
          <w:sz w:val="32"/>
          <w:szCs w:val="32"/>
          <w:highlight w:val="none"/>
        </w:rPr>
        <w:outlineLvl w:val="2"/>
      </w:pPr>
      <w:r/>
      <w:bookmarkStart w:id="53" w:name="_Toc3817"/>
      <w:r>
        <w:rPr>
          <w:rFonts w:hint="eastAsia" w:ascii="Times New Roman" w:hAnsi="Times New Roman"/>
          <w:b/>
          <w:bCs/>
          <w:color w:val="auto"/>
          <w:sz w:val="32"/>
          <w:szCs w:val="32"/>
          <w:highlight w:val="none"/>
        </w:rPr>
        <w:t xml:space="preserve">二、磋商文件</w:t>
      </w:r>
      <w:bookmarkEnd w:id="53"/>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6、磋商文件构成</w:t>
      </w:r>
      <w:r/>
    </w:p>
    <w:p>
      <w:pPr>
        <w:ind w:firstLine="480"/>
        <w:pageBreakBefore w:val="0"/>
        <w:spacing w:line="560" w:lineRule="exact"/>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6.1磋商文件由以下部分组成：</w:t>
      </w:r>
      <w:r/>
    </w:p>
    <w:p>
      <w:pPr>
        <w:ind w:firstLine="480"/>
        <w:pageBreakBefore w:val="0"/>
        <w:spacing w:line="560" w:lineRule="exact"/>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（1）磋商邀请</w:t>
      </w:r>
      <w:r/>
    </w:p>
    <w:p>
      <w:pPr>
        <w:ind w:firstLine="480"/>
        <w:pageBreakBefore w:val="0"/>
        <w:spacing w:line="560" w:lineRule="exact"/>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（2）供应商须知</w:t>
      </w:r>
      <w:r/>
    </w:p>
    <w:p>
      <w:pPr>
        <w:ind w:firstLine="480"/>
        <w:pageBreakBefore w:val="0"/>
        <w:spacing w:line="560" w:lineRule="exact"/>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（3）合同文本</w:t>
      </w:r>
      <w:r/>
    </w:p>
    <w:p>
      <w:pPr>
        <w:ind w:firstLine="480"/>
        <w:pageBreakBefore w:val="0"/>
        <w:spacing w:line="560" w:lineRule="exact"/>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（4）采购需求</w:t>
      </w:r>
      <w:r/>
    </w:p>
    <w:p>
      <w:pPr>
        <w:ind w:firstLine="480"/>
        <w:pageBreakBefore w:val="0"/>
        <w:spacing w:line="560" w:lineRule="exact"/>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（5）评审方法与评审标准</w:t>
      </w:r>
      <w:r/>
    </w:p>
    <w:p>
      <w:pPr>
        <w:ind w:firstLine="480"/>
        <w:pageBreakBefore w:val="0"/>
        <w:spacing w:line="560" w:lineRule="exact"/>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（6）响应文件格式</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请仔细检查磋商文件是否齐全，如有缺漏请立即与采购代理机构联系解决。</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7、磋商文件的澄清</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bCs/>
          <w:color w:val="auto"/>
          <w:sz w:val="24"/>
          <w:szCs w:val="21"/>
          <w:highlight w:val="none"/>
        </w:rPr>
        <w:t xml:space="preserve">7.1</w:t>
      </w:r>
      <w:r>
        <w:rPr>
          <w:rFonts w:hint="eastAsia" w:ascii="Times New Roman" w:hAnsi="Times New Roman"/>
          <w:color w:val="auto"/>
          <w:sz w:val="24"/>
          <w:szCs w:val="21"/>
          <w:highlight w:val="none"/>
        </w:rPr>
        <w:t xml:space="preserve">任何要求对磋商文件进行澄清的供应商，应在磋商截止期5日</w:t>
      </w:r>
      <w:r>
        <w:rPr>
          <w:rFonts w:hint="eastAsia" w:ascii="Times New Roman" w:hAnsi="Times New Roman"/>
          <w:color w:val="auto"/>
          <w:sz w:val="24"/>
          <w:szCs w:val="24"/>
          <w:highlight w:val="none"/>
        </w:rPr>
        <w:t xml:space="preserve">前</w:t>
      </w:r>
      <w:r>
        <w:rPr>
          <w:rFonts w:hint="eastAsia" w:ascii="Times New Roman" w:hAnsi="Times New Roman"/>
          <w:color w:val="auto"/>
          <w:sz w:val="24"/>
          <w:szCs w:val="21"/>
          <w:highlight w:val="none"/>
        </w:rPr>
        <w:t xml:space="preserve">按磋商公告中的通讯地址，以书面形式通知采购代理机构。</w:t>
      </w:r>
      <w:r/>
    </w:p>
    <w:p>
      <w:pPr>
        <w:ind w:firstLine="56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8、磋商文件的澄清和修改</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至少</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日前发出；不足</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日的，采购代理机构应当顺延</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8.2</w:t>
      </w:r>
      <w:r>
        <w:rPr>
          <w:rFonts w:hint="eastAsia" w:ascii="Times New Roman" w:hAnsi="Times New Roman"/>
          <w:color w:val="auto"/>
          <w:sz w:val="24"/>
          <w:szCs w:val="21"/>
          <w:highlight w:val="none"/>
        </w:rPr>
        <w:t xml:space="preserve">在响应文件提交截止时间前</w:t>
      </w:r>
      <w:r>
        <w:rPr>
          <w:rFonts w:hint="eastAsia" w:ascii="Times New Roman" w:hAnsi="Times New Roman"/>
          <w:bCs/>
          <w:color w:val="auto"/>
          <w:sz w:val="24"/>
          <w:highlight w:val="none"/>
        </w:rPr>
        <w:t xml:space="preserve">，采购代理机构可以对磋商文件进行修改。</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8.3采购代理机构有权按照法定的要求推迟响应文件递交截止日期和磋商日期。</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8.4磋商文件的修改将在原公告媒体上发布更正公告，</w:t>
      </w:r>
      <w:r>
        <w:rPr>
          <w:rFonts w:hint="eastAsia" w:ascii="Times New Roman" w:hAnsi="Times New Roman"/>
          <w:color w:val="auto"/>
          <w:sz w:val="24"/>
          <w:szCs w:val="21"/>
          <w:highlight w:val="none"/>
        </w:rPr>
        <w:t xml:space="preserve">更正公告内容将作为磋商文件的组成部分</w:t>
      </w:r>
      <w:r>
        <w:rPr>
          <w:rFonts w:hint="eastAsia" w:ascii="Times New Roman" w:hAnsi="Times New Roman"/>
          <w:bCs/>
          <w:color w:val="auto"/>
          <w:sz w:val="24"/>
          <w:highlight w:val="none"/>
        </w:rPr>
        <w:t xml:space="preserve">，并对供应商具有约束力，发布的更正公告视同为以书面形式通知所有获取招标文件的潜在投标人。</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560" w:lineRule="exact"/>
        <w:widowControl w:val="off"/>
        <w:rPr>
          <w:rFonts w:hint="eastAsia" w:ascii="Times New Roman" w:hAnsi="Times New Roman"/>
          <w:b/>
          <w:bCs/>
          <w:color w:val="auto"/>
          <w:sz w:val="32"/>
          <w:szCs w:val="32"/>
          <w:highlight w:val="none"/>
        </w:rPr>
        <w:outlineLvl w:val="2"/>
      </w:pPr>
      <w:r/>
      <w:bookmarkStart w:id="54" w:name="_Toc28018"/>
      <w:r>
        <w:rPr>
          <w:rFonts w:hint="eastAsia" w:ascii="Times New Roman" w:hAnsi="Times New Roman"/>
          <w:b/>
          <w:bCs/>
          <w:color w:val="auto"/>
          <w:sz w:val="32"/>
          <w:szCs w:val="32"/>
          <w:highlight w:val="none"/>
        </w:rPr>
        <w:t xml:space="preserve">三、响应文件的编制</w:t>
      </w:r>
      <w:bookmarkEnd w:id="54"/>
      <w:r/>
      <w:r/>
    </w:p>
    <w:p>
      <w:pPr>
        <w:ind w:firstLine="560"/>
        <w:keepLines/>
        <w:keepNext/>
        <w:pageBreakBefore w:val="0"/>
        <w:spacing w:line="560" w:lineRule="exact"/>
        <w:widowControl w:val="off"/>
        <w:rPr>
          <w:rFonts w:hint="eastAsia" w:ascii="Times New Roman" w:hAnsi="Times New Roman" w:eastAsia="黑体" w:cs="Arial"/>
          <w:b/>
          <w:color w:val="auto"/>
          <w:sz w:val="28"/>
          <w:szCs w:val="28"/>
          <w:highlight w:val="none"/>
        </w:rPr>
        <w:outlineLvl w:val="3"/>
      </w:pPr>
      <w:r>
        <w:rPr>
          <w:rFonts w:hint="eastAsia" w:ascii="Times New Roman" w:hAnsi="Times New Roman" w:eastAsia="黑体" w:cs="Arial"/>
          <w:color w:val="auto"/>
          <w:sz w:val="28"/>
          <w:szCs w:val="28"/>
          <w:highlight w:val="none"/>
        </w:rPr>
        <w:t xml:space="preserve">9、响应文件的语言及度量衡单位</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除技术性能另有规定外，响应文件所使用的度量衡单位，均须采用国家法定计量单位。</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10、响应文件构成</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szCs w:val="21"/>
          <w:highlight w:val="none"/>
        </w:rPr>
        <w:t xml:space="preserve">10.1</w:t>
      </w:r>
      <w:r>
        <w:rPr>
          <w:rFonts w:hint="eastAsia" w:ascii="Times New Roman" w:hAnsi="Times New Roman"/>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bCs/>
          <w:color w:val="auto"/>
          <w:sz w:val="24"/>
          <w:highlight w:val="none"/>
          <w:lang w:val="zh-CN"/>
        </w:rPr>
        <w:t xml:space="preserve">各供应商在编制</w:t>
      </w:r>
      <w:r>
        <w:rPr>
          <w:rFonts w:hint="eastAsia" w:ascii="Times New Roman" w:hAnsi="Times New Roman"/>
          <w:bCs/>
          <w:color w:val="auto"/>
          <w:sz w:val="24"/>
          <w:highlight w:val="none"/>
        </w:rPr>
        <w:t xml:space="preserve">响应文件</w:t>
      </w:r>
      <w:r>
        <w:rPr>
          <w:rFonts w:hint="eastAsia" w:ascii="Times New Roman" w:hAnsi="Times New Roman"/>
          <w:bCs/>
          <w:color w:val="auto"/>
          <w:sz w:val="24"/>
          <w:highlight w:val="none"/>
          <w:lang w:val="zh-CN"/>
        </w:rPr>
        <w:t xml:space="preserve">时请按照磋商文件第六</w:t>
      </w:r>
      <w:r>
        <w:rPr>
          <w:rFonts w:hint="eastAsia" w:ascii="Times New Roman" w:hAnsi="Times New Roman"/>
          <w:bCs/>
          <w:color w:val="auto"/>
          <w:sz w:val="24"/>
          <w:highlight w:val="none"/>
        </w:rPr>
        <w:t xml:space="preserve">章</w:t>
      </w:r>
      <w:r>
        <w:rPr>
          <w:rFonts w:hint="eastAsia" w:ascii="Times New Roman" w:hAnsi="Times New Roman"/>
          <w:bCs/>
          <w:color w:val="auto"/>
          <w:sz w:val="24"/>
          <w:highlight w:val="none"/>
          <w:lang w:val="zh-CN"/>
        </w:rPr>
        <w:t xml:space="preserve">规定的格式进行，混乱的编排导致</w:t>
      </w:r>
      <w:r>
        <w:rPr>
          <w:rFonts w:hint="eastAsia" w:ascii="Times New Roman" w:hAnsi="Times New Roman"/>
          <w:bCs/>
          <w:color w:val="auto"/>
          <w:sz w:val="24"/>
          <w:highlight w:val="none"/>
        </w:rPr>
        <w:t xml:space="preserve">响应</w:t>
      </w:r>
      <w:r>
        <w:rPr>
          <w:rFonts w:hint="eastAsia" w:ascii="Times New Roman" w:hAnsi="Times New Roman"/>
          <w:bCs/>
          <w:color w:val="auto"/>
          <w:sz w:val="24"/>
          <w:highlight w:val="none"/>
          <w:lang w:val="zh-CN"/>
        </w:rPr>
        <w:t xml:space="preserve">文件被误读或磋商小组查找不到有效文件是供应商的风险。</w:t>
      </w:r>
      <w:r/>
    </w:p>
    <w:p>
      <w:pPr>
        <w:ind w:firstLine="480"/>
        <w:pageBreakBefore w:val="0"/>
        <w:spacing w:line="560" w:lineRule="exact"/>
        <w:widowControl w:val="off"/>
        <w:rPr>
          <w:rFonts w:ascii="Times New Roman" w:hAnsi="Times New Roman"/>
          <w:color w:val="auto"/>
          <w:sz w:val="24"/>
          <w:highlight w:val="none"/>
        </w:rPr>
      </w:pPr>
      <w:r>
        <w:rPr>
          <w:rFonts w:hint="eastAsia" w:ascii="Times New Roman" w:hAnsi="Times New Roman"/>
          <w:color w:val="auto"/>
          <w:sz w:val="24"/>
          <w:szCs w:val="21"/>
          <w:highlight w:val="none"/>
        </w:rPr>
        <w:t xml:space="preserve">10.2</w:t>
      </w:r>
      <w:r>
        <w:rPr>
          <w:rFonts w:hint="eastAsia" w:ascii="Times New Roman" w:hAnsi="Times New Roman"/>
          <w:color w:val="auto"/>
          <w:sz w:val="24"/>
          <w:highlight w:val="none"/>
        </w:rPr>
        <w:t xml:space="preserve">供应商编写的响应文件应包括资格证明文件、分项报价表、响应及偏离表、其他证明文件、磋商申请及声明函、开标一览表等部分。</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10.3响应文件须加盖电子签章之处，应按要求加盖</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数字证书的电子签章。其他需要盖章但未明确要求电子签章的，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可按要求加盖公章后上传材料电子件或直接加盖电子签章。 </w:t>
      </w:r>
      <w:r/>
    </w:p>
    <w:p>
      <w:pPr>
        <w:ind w:firstLine="480"/>
        <w:pageBreakBefore w:val="0"/>
        <w:spacing w:line="56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10.4本项目通过“苏采云”系统进行电子招标投标，即</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，按照无效响应处理(因“苏采云”系统导致解密失败的除外)。</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10.6成交后按相关要求提供与电子响应文件一致的纸质打印响应文件</w:t>
      </w:r>
      <w:r>
        <w:rPr>
          <w:rFonts w:hint="eastAsia" w:ascii="Times New Roman" w:hAnsi="Times New Roman"/>
          <w:bCs/>
          <w:color w:val="auto"/>
          <w:sz w:val="24"/>
          <w:highlight w:val="none"/>
          <w:lang w:val="en-US" w:eastAsia="zh-CN"/>
        </w:rPr>
        <w:t xml:space="preserve">3</w:t>
      </w:r>
      <w:r>
        <w:rPr>
          <w:rFonts w:hint="eastAsia" w:ascii="Times New Roman" w:hAnsi="Times New Roman"/>
          <w:bCs/>
          <w:color w:val="auto"/>
          <w:sz w:val="24"/>
          <w:highlight w:val="none"/>
        </w:rPr>
        <w:t xml:space="preserve">份。 </w:t>
      </w:r>
      <w:r/>
    </w:p>
    <w:p>
      <w:pPr>
        <w:ind w:firstLine="480"/>
        <w:pageBreakBefore w:val="0"/>
        <w:spacing w:line="560" w:lineRule="exact"/>
        <w:widowControl w:val="off"/>
        <w:rPr>
          <w:rFonts w:ascii="Times New Roman" w:hAnsi="Times New Roman"/>
          <w:color w:val="auto"/>
          <w:sz w:val="24"/>
          <w:highlight w:val="none"/>
        </w:rPr>
      </w:pPr>
      <w:r>
        <w:rPr>
          <w:rFonts w:hint="eastAsia" w:ascii="Times New Roman" w:hAnsi="Times New Roman"/>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firstLine="420"/>
        <w:keepLines/>
        <w:keepNext/>
        <w:pageBreakBefore w:val="0"/>
        <w:spacing w:line="560" w:lineRule="exact"/>
        <w:widowControl w:val="off"/>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11、证明磋商响应标的符合磋商文件规定的文件</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11.1供应商应按照磋商文件要求提交证明文件，证明其及磋商响应标的符合磋商文件规定。</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11.2磋商文件对证明文件无明确形式要求的，证明文件可以以文字资料、图纸和数据等形式提交。</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12、分项报价表</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供应商应按照磋商文件规定格式填报分项报价表。</w:t>
      </w:r>
      <w:r/>
    </w:p>
    <w:p>
      <w:pPr>
        <w:ind w:firstLine="480"/>
        <w:pageBreakBefore w:val="0"/>
        <w:spacing w:line="56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磋商货币。响应文件中的单价和总价无特殊规定的采用人民币报价，以元为单位标注。</w:t>
      </w:r>
      <w:r>
        <w:rPr>
          <w:rFonts w:hint="eastAsia" w:ascii="Times New Roman" w:hAnsi="Times New Roman"/>
          <w:color w:val="auto"/>
          <w:sz w:val="24"/>
          <w:szCs w:val="21"/>
          <w:highlight w:val="none"/>
        </w:rPr>
        <w:t xml:space="preserve">磋商文件中另有规定的按规定执行。</w:t>
      </w:r>
      <w:r/>
    </w:p>
    <w:p>
      <w:pPr>
        <w:ind w:firstLine="480"/>
        <w:spacing w:line="520" w:lineRule="exact"/>
        <w:rPr>
          <w:rFonts w:hint="eastAsia" w:ascii="宋体" w:hAnsi="宋体" w:cs="宋体"/>
          <w:bCs/>
          <w:sz w:val="24"/>
          <w:szCs w:val="24"/>
          <w:highlight w:val="none"/>
        </w:rPr>
      </w:pPr>
      <w:r>
        <w:rPr>
          <w:rFonts w:hint="eastAsia" w:ascii="宋体" w:hAnsi="宋体" w:cs="宋体"/>
          <w:bCs/>
          <w:sz w:val="24"/>
          <w:szCs w:val="24"/>
          <w:highlight w:val="none"/>
        </w:rPr>
        <w:t xml:space="preserve">12.3本项目不接受备选的投标方案或有选择的报价，只允许有一个报价。供应商响应文件中的报价作为首次报价，不公开；以最后报价作为评审价。投标报价内容包括：</w:t>
      </w:r>
      <w:r>
        <w:rPr>
          <w:rFonts w:hint="eastAsia" w:ascii="宋体" w:hAnsi="宋体" w:cs="宋体"/>
          <w:bCs/>
          <w:sz w:val="24"/>
          <w:szCs w:val="24"/>
          <w:highlight w:val="none"/>
          <w:u w:val="single"/>
        </w:rPr>
        <w:t xml:space="preserve">服务本身价格、合同期内所雇佣人员所需的一切劳务酬金(含工资、奖金、加班费、职业防护费等等)，所有雇用人员的各类社会保险费用，完成承包工作所需要的设备、损耗、运输费用，住宿费以及管理费、税费、利润及以及履约过程中涉及到的其他一切费用</w:t>
      </w:r>
      <w:r>
        <w:rPr>
          <w:rFonts w:hint="eastAsia" w:ascii="宋体" w:hAnsi="宋体" w:cs="宋体"/>
          <w:bCs/>
          <w:sz w:val="24"/>
          <w:szCs w:val="24"/>
          <w:highlight w:val="none"/>
        </w:rPr>
        <w:t xml:space="preserve">。</w:t>
      </w:r>
      <w:bookmarkStart w:id="55" w:name="_Hlt26670482"/>
      <w:r/>
      <w:bookmarkEnd w:id="55"/>
      <w:r/>
      <w:bookmarkStart w:id="56" w:name="_Hlt26954846"/>
      <w:r/>
      <w:bookmarkEnd w:id="56"/>
      <w:r/>
      <w:bookmarkStart w:id="57" w:name="_Hlt26954731"/>
      <w:r/>
      <w:bookmarkEnd w:id="57"/>
      <w:r/>
      <w:bookmarkStart w:id="58" w:name="_Hlt26670486"/>
      <w:r/>
      <w:bookmarkEnd w:id="58"/>
      <w:r/>
      <w:bookmarkStart w:id="59" w:name="_Hlt26954848"/>
      <w:r/>
      <w:bookmarkEnd w:id="59"/>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20" w:lineRule="exact"/>
        <w:rPr>
          <w:rFonts w:hint="eastAsia" w:ascii="宋体" w:hAnsi="宋体" w:cs="宋体"/>
          <w:sz w:val="24"/>
          <w:szCs w:val="24"/>
          <w:highlight w:val="none"/>
          <w:lang w:val="zh-CN"/>
        </w:rPr>
      </w:pPr>
      <w:r>
        <w:rPr>
          <w:rFonts w:hint="eastAsia" w:ascii="宋体" w:hAnsi="宋体" w:cs="宋体"/>
          <w:bCs/>
          <w:sz w:val="24"/>
          <w:szCs w:val="24"/>
          <w:highlight w:val="none"/>
          <w:lang w:val="zh-CN"/>
        </w:rPr>
        <w:t xml:space="preserve">13.1</w:t>
      </w:r>
      <w:r>
        <w:rPr>
          <w:rFonts w:hint="eastAsia" w:ascii="宋体" w:hAnsi="宋体" w:cs="宋体"/>
          <w:sz w:val="24"/>
          <w:szCs w:val="24"/>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13.2供应商可在响应文件中提供认为需要的其他技术文件或说明。</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20" w:lineRule="exact"/>
        <w:rPr>
          <w:rFonts w:hint="eastAsia" w:ascii="宋体" w:hAnsi="宋体" w:cs="宋体"/>
          <w:sz w:val="24"/>
          <w:szCs w:val="24"/>
          <w:highlight w:val="none"/>
        </w:rPr>
      </w:pPr>
      <w:r>
        <w:rPr>
          <w:rFonts w:hint="eastAsia" w:ascii="宋体" w:hAnsi="宋体" w:cs="宋体"/>
          <w:bCs/>
          <w:sz w:val="24"/>
          <w:szCs w:val="24"/>
          <w:highlight w:val="none"/>
        </w:rPr>
        <w:t xml:space="preserve">14.1</w:t>
      </w:r>
      <w:r>
        <w:rPr>
          <w:rFonts w:hint="eastAsia" w:ascii="宋体" w:hAnsi="宋体" w:cs="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14.2供应商需根据磋商文件要求提供培训计划。</w:t>
      </w:r>
      <w:r/>
    </w:p>
    <w:p>
      <w:pPr>
        <w:ind w:firstLine="480"/>
        <w:spacing w:line="520" w:lineRule="exact"/>
        <w:rPr>
          <w:rFonts w:hint="eastAsia" w:ascii="Times New Roman" w:hAnsi="Times New Roman" w:eastAsia="黑体" w:cs="Arial"/>
          <w:color w:val="auto"/>
          <w:sz w:val="28"/>
          <w:szCs w:val="28"/>
          <w:highlight w:val="none"/>
        </w:rPr>
      </w:pPr>
      <w:r>
        <w:rPr>
          <w:rFonts w:hint="eastAsia" w:ascii="宋体" w:hAnsi="宋体" w:cs="宋体"/>
          <w:sz w:val="24"/>
          <w:szCs w:val="24"/>
          <w:highlight w:val="none"/>
        </w:rPr>
        <w:t xml:space="preserve">14.3供应商需根据磋商文件要求提供</w:t>
      </w:r>
      <w:r>
        <w:rPr>
          <w:rFonts w:hint="eastAsia" w:ascii="宋体" w:hAnsi="宋体" w:cs="宋体"/>
          <w:sz w:val="24"/>
          <w:szCs w:val="24"/>
          <w:highlight w:val="none"/>
          <w:lang w:val="zh-CN"/>
        </w:rPr>
        <w:t xml:space="preserve">磋商响应标的的主要组成部分、功能设计、实现思路及关键技术等。</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15、磋商响应函</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供应商应按照磋商文件中提供的格式完整、正确填写磋商响应函。</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16、磋商有效期</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16.1磋商有效期为提交响应文件截止之日后</w:t>
      </w:r>
      <w:r>
        <w:rPr>
          <w:rFonts w:hint="eastAsia" w:ascii="Times New Roman" w:hAnsi="Times New Roman"/>
          <w:b/>
          <w:color w:val="auto"/>
          <w:sz w:val="24"/>
          <w:szCs w:val="21"/>
          <w:highlight w:val="none"/>
          <w:u w:val="single"/>
        </w:rPr>
        <w:t xml:space="preserve">六十（60）天</w:t>
      </w:r>
      <w:r>
        <w:rPr>
          <w:rFonts w:hint="eastAsia" w:ascii="Times New Roman" w:hAnsi="Times New Roman"/>
          <w:bCs/>
          <w:color w:val="auto"/>
          <w:sz w:val="24"/>
          <w:szCs w:val="21"/>
          <w:highlight w:val="none"/>
        </w:rPr>
        <w:t xml:space="preserve">。磋商有效期比规定短的将被视为非实质性响应磋商文件而予以拒绝。</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、磋商有效期的延长</w:t>
      </w:r>
      <w:r/>
    </w:p>
    <w:p>
      <w:pPr>
        <w:ind w:firstLine="480"/>
        <w:pageBreakBefore w:val="0"/>
        <w:spacing w:line="56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的这一要求而放弃磋商，同意延长磋商有效期的供应商既不能要求也不允许修改其响应文件。</w:t>
      </w:r>
      <w:r>
        <w:rPr>
          <w:rFonts w:hint="eastAsia" w:ascii="Times New Roman" w:hAnsi="Times New Roman"/>
          <w:color w:val="auto"/>
          <w:sz w:val="24"/>
          <w:szCs w:val="24"/>
          <w:highlight w:val="none"/>
        </w:rPr>
        <w:t xml:space="preserve">受磋商有效期约束的所有权利与义务均延长至新的有效期</w:t>
      </w:r>
      <w:r>
        <w:rPr>
          <w:rFonts w:hint="eastAsia" w:ascii="Times New Roman" w:hAnsi="Times New Roman"/>
          <w:bCs/>
          <w:color w:val="auto"/>
          <w:sz w:val="24"/>
          <w:szCs w:val="21"/>
          <w:highlight w:val="none"/>
        </w:rPr>
        <w:t xml:space="preserve">。</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7.2</w:t>
      </w:r>
      <w:r>
        <w:rPr>
          <w:rFonts w:hint="eastAsia" w:ascii="Times New Roman" w:hAnsi="Times New Roman"/>
          <w:color w:val="auto"/>
          <w:sz w:val="24"/>
          <w:highlight w:val="none"/>
        </w:rPr>
        <w:t xml:space="preserve">成交人的响应文件作为项目合同的附件，其有效期至成交人全部合同义务履行完毕为止。</w:t>
      </w:r>
      <w:r/>
    </w:p>
    <w:p>
      <w:pPr>
        <w:ind w:firstLine="482"/>
        <w:keepLines/>
        <w:keepNext/>
        <w:pageBreakBefore w:val="0"/>
        <w:spacing w:line="560" w:lineRule="exact"/>
        <w:widowControl w:val="off"/>
        <w:rPr>
          <w:rFonts w:hint="eastAsia" w:ascii="Times New Roman" w:hAnsi="Times New Roman"/>
          <w:b/>
          <w:bCs/>
          <w:color w:val="auto"/>
          <w:sz w:val="32"/>
          <w:szCs w:val="32"/>
          <w:highlight w:val="none"/>
        </w:rPr>
        <w:outlineLvl w:val="2"/>
      </w:pPr>
      <w:r/>
      <w:bookmarkStart w:id="60" w:name="_Toc22317"/>
      <w:r>
        <w:rPr>
          <w:rFonts w:hint="eastAsia" w:ascii="Times New Roman" w:hAnsi="Times New Roman"/>
          <w:b/>
          <w:bCs/>
          <w:color w:val="auto"/>
          <w:sz w:val="32"/>
          <w:szCs w:val="32"/>
          <w:highlight w:val="none"/>
        </w:rPr>
        <w:t xml:space="preserve">四、响应文件的递交</w:t>
      </w:r>
      <w:bookmarkEnd w:id="60"/>
      <w:r/>
      <w:r/>
    </w:p>
    <w:p>
      <w:pPr>
        <w:ind w:firstLine="56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、电子磋商响应文件的递交</w:t>
      </w:r>
      <w:r/>
    </w:p>
    <w:p>
      <w:pPr>
        <w:ind w:firstLine="600"/>
        <w:pageBreakBefore w:val="0"/>
        <w:spacing w:line="56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18.1供应商应当按照《操作手册》规定，在提交响应文件截止时间前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并上传电子响应文件。</w:t>
      </w:r>
      <w:r/>
    </w:p>
    <w:p>
      <w:pPr>
        <w:ind w:firstLine="480"/>
        <w:pageBreakBefore w:val="0"/>
        <w:spacing w:line="56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8.2</w:t>
      </w:r>
      <w:r>
        <w:rPr>
          <w:rFonts w:hint="eastAsia" w:ascii="Times New Roman" w:hAnsi="Times New Roman"/>
          <w:color w:val="auto"/>
          <w:sz w:val="24"/>
          <w:highlight w:val="none"/>
        </w:rPr>
        <w:t xml:space="preserve">投标人通过“苏采云”系统不见面开标大厅在线参与开标活动。（具体操作详见《“苏采云”系统投标人操作手册》，网址链接</w:t>
      </w:r>
      <w:r>
        <w:rPr>
          <w:rFonts w:hint="eastAsia" w:ascii="Times New Roman" w:hAnsi="Times New Roman"/>
          <w:color w:val="auto"/>
          <w:sz w:val="24"/>
          <w:szCs w:val="22"/>
          <w:highlight w:val="none"/>
        </w:rPr>
        <w:t xml:space="preserve">http://www.ccgp-jiangsu.gov.cn//webfile/jiangsu/202311/1699268553318052447.pdf）</w:t>
      </w:r>
      <w:r/>
    </w:p>
    <w:p>
      <w:pPr>
        <w:ind w:firstLine="560"/>
        <w:keepLines/>
        <w:keepNext/>
        <w:pageBreakBefore w:val="0"/>
        <w:spacing w:line="560" w:lineRule="exact"/>
        <w:widowControl w:val="off"/>
        <w:rPr>
          <w:rFonts w:hint="eastAsia"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、提交响应文件截止时间</w:t>
      </w:r>
      <w:r/>
    </w:p>
    <w:p>
      <w:pPr>
        <w:ind w:firstLine="480"/>
        <w:pageBreakBefore w:val="0"/>
        <w:spacing w:line="560" w:lineRule="exact"/>
        <w:widowControl w:val="off"/>
        <w:rPr>
          <w:rFonts w:hint="eastAsia"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19.1供应商上传电子响应文件的时间不得迟于磋商公告中规定的提交响应文件截止时间。</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.2采购代理机构</w:t>
      </w:r>
      <w:r>
        <w:rPr>
          <w:rFonts w:hint="eastAsia" w:ascii="Times New Roman" w:hAnsi="Times New Roman"/>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、响应文件的拒收</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拒绝接收在其规定的提交响应文件截止时间后上传的任何电子响应文件。</w:t>
      </w:r>
      <w:r>
        <w:rPr>
          <w:rFonts w:hint="eastAsia" w:ascii="Times New Roman" w:hAnsi="Times New Roman"/>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、响应文件的撤回和修改</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.1响应文件的撤回</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.1.1电子响应文件的撤回</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截止时间前，撤回其电子响应文件，具体操作方法见《操作手册》。</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供应商撤回电子响应文件，则认为其不再参与本项目磋商活动。</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.2响应文件的修改</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hint="eastAsia" w:ascii="Times New Roman" w:hAnsi="Times New Roman"/>
          <w:color w:val="auto"/>
          <w:sz w:val="24"/>
          <w:szCs w:val="21"/>
          <w:highlight w:val="none"/>
          <w:lang w:val="en-US" w:eastAsia="zh-CN"/>
        </w:rPr>
        <w:t xml:space="preserve">2</w:t>
      </w:r>
      <w:r>
        <w:rPr>
          <w:rFonts w:hint="eastAsia" w:ascii="Times New Roman" w:hAnsi="Times New Roman"/>
          <w:color w:val="auto"/>
          <w:sz w:val="24"/>
          <w:szCs w:val="21"/>
          <w:highlight w:val="none"/>
        </w:rPr>
        <w:t xml:space="preserve">.1供应商可在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截止时间前，对其电子响应文件进行修改，具体操作方法见《操作手册》。</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hint="eastAsia" w:ascii="Times New Roman" w:hAnsi="Times New Roman"/>
          <w:color w:val="auto"/>
          <w:sz w:val="24"/>
          <w:szCs w:val="21"/>
          <w:highlight w:val="none"/>
          <w:lang w:val="en-US" w:eastAsia="zh-CN"/>
        </w:rPr>
        <w:t xml:space="preserve">2</w:t>
      </w:r>
      <w:r>
        <w:rPr>
          <w:rFonts w:hint="eastAsia" w:ascii="Times New Roman" w:hAnsi="Times New Roman"/>
          <w:color w:val="auto"/>
          <w:sz w:val="24"/>
          <w:szCs w:val="21"/>
          <w:highlight w:val="none"/>
        </w:rPr>
        <w:t xml:space="preserve">.</w:t>
      </w:r>
      <w:r>
        <w:rPr>
          <w:rFonts w:hint="eastAsia" w:ascii="Times New Roman" w:hAnsi="Times New Roman"/>
          <w:color w:val="auto"/>
          <w:sz w:val="24"/>
          <w:szCs w:val="21"/>
          <w:highlight w:val="none"/>
          <w:lang w:val="en-US" w:eastAsia="zh-CN"/>
        </w:rPr>
        <w:t xml:space="preserve">2</w:t>
      </w:r>
      <w:r>
        <w:rPr>
          <w:rFonts w:hint="eastAsia" w:ascii="Times New Roman" w:hAnsi="Times New Roman"/>
          <w:bCs/>
          <w:color w:val="auto"/>
          <w:sz w:val="24"/>
          <w:szCs w:val="21"/>
          <w:highlight w:val="none"/>
        </w:rPr>
        <w:t xml:space="preserve">在提交响应文件截止时间之后，供应商不得对其电子响应文件作任何修改。</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hint="eastAsia" w:ascii="Times New Roman" w:hAnsi="Times New Roman"/>
          <w:color w:val="auto"/>
          <w:sz w:val="24"/>
          <w:szCs w:val="21"/>
          <w:highlight w:val="none"/>
          <w:lang w:val="en-US" w:eastAsia="zh-CN"/>
        </w:rPr>
        <w:t xml:space="preserve">3</w:t>
      </w:r>
      <w:r>
        <w:rPr>
          <w:rFonts w:hint="eastAsia"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pageBreakBefore w:val="0"/>
        <w:spacing w:line="560" w:lineRule="exact"/>
        <w:widowControl w:val="off"/>
        <w:rPr>
          <w:rFonts w:hint="eastAsia" w:ascii="Times New Roman" w:hAnsi="Times New Roman"/>
          <w:b/>
          <w:bCs/>
          <w:color w:val="auto"/>
          <w:sz w:val="32"/>
          <w:szCs w:val="32"/>
          <w:highlight w:val="none"/>
        </w:rPr>
        <w:outlineLvl w:val="2"/>
      </w:pPr>
      <w:r/>
      <w:bookmarkStart w:id="61" w:name="_Toc14378"/>
      <w:r>
        <w:rPr>
          <w:rFonts w:hint="eastAsia" w:ascii="Times New Roman" w:hAnsi="Times New Roman"/>
          <w:b/>
          <w:bCs/>
          <w:color w:val="auto"/>
          <w:sz w:val="32"/>
          <w:szCs w:val="32"/>
          <w:highlight w:val="none"/>
        </w:rPr>
        <w:t xml:space="preserve">五、响应文件的解密与评审</w:t>
      </w:r>
      <w:bookmarkEnd w:id="61"/>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22、响应文件解密</w:t>
      </w:r>
      <w:r/>
    </w:p>
    <w:p>
      <w:pPr>
        <w:ind w:firstLine="360"/>
        <w:pageBreakBefore w:val="0"/>
        <w:spacing w:line="560" w:lineRule="exact"/>
        <w:widowControl w:val="off"/>
        <w:rPr>
          <w:rFonts w:hint="eastAsia"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color w:val="auto"/>
          <w:sz w:val="24"/>
          <w:szCs w:val="24"/>
          <w:highlight w:val="none"/>
        </w:rPr>
        <w:t xml:space="preserve">供应商应当</w:t>
      </w:r>
      <w:r>
        <w:rPr>
          <w:rFonts w:hint="eastAsia" w:ascii="Times New Roman" w:hAnsi="Times New Roman"/>
          <w:color w:val="auto"/>
          <w:sz w:val="24"/>
          <w:szCs w:val="21"/>
          <w:highlight w:val="none"/>
        </w:rPr>
        <w:t xml:space="preserve">按照《“苏采云”系统供应商操作手册》规定</w:t>
      </w:r>
      <w:r>
        <w:rPr>
          <w:rFonts w:hint="eastAsia" w:ascii="Times New Roman" w:hAnsi="Times New Roman"/>
          <w:color w:val="auto"/>
          <w:sz w:val="24"/>
          <w:szCs w:val="24"/>
          <w:highlight w:val="none"/>
        </w:rPr>
        <w:t xml:space="preserve">，参加磋商活动和在苏采云系统规定的时间内对磋商响应文件进行解密。</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、磋商小组</w:t>
      </w:r>
      <w:r/>
    </w:p>
    <w:p>
      <w:pPr>
        <w:ind w:firstLine="480"/>
        <w:pageBreakBefore w:val="0"/>
        <w:spacing w:line="560" w:lineRule="exact"/>
        <w:widowControl w:val="off"/>
        <w:rPr>
          <w:rFonts w:hint="eastAsia" w:ascii="Times New Roman" w:hAnsi="Times New Roman"/>
          <w:b/>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.1</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.2磋商小组独立工作，负责评审所有响应文件并确定成交</w:t>
      </w:r>
      <w:r>
        <w:rPr>
          <w:rFonts w:hint="eastAsia"/>
          <w:color w:val="auto"/>
          <w:sz w:val="24"/>
          <w:szCs w:val="24"/>
          <w:highlight w:val="none"/>
          <w:lang w:val="en-US" w:eastAsia="zh-CN"/>
        </w:rPr>
        <w:t xml:space="preserve">候</w:t>
      </w:r>
      <w:r>
        <w:rPr>
          <w:rFonts w:hint="eastAsia" w:ascii="Times New Roman" w:hAnsi="Times New Roman"/>
          <w:color w:val="auto"/>
          <w:sz w:val="24"/>
          <w:szCs w:val="24"/>
          <w:highlight w:val="none"/>
        </w:rPr>
        <w:t xml:space="preserve">选人。</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、评审过程的保密与公正</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磋商小组、采购人和</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.3</w:t>
      </w:r>
      <w:r>
        <w:rPr>
          <w:rFonts w:hint="eastAsia" w:ascii="Times New Roman" w:hAnsi="Times New Roman"/>
          <w:color w:val="auto"/>
          <w:sz w:val="24"/>
          <w:szCs w:val="24"/>
          <w:highlight w:val="none"/>
        </w:rPr>
        <w:t xml:space="preserve">在项目评审期间，</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将设专门人员与供应商联系。</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24</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和磋商小组不向未成交的供应商解释未成交原因，也不公布评审过程中的相关细节。</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、评审过程中的的澄清</w:t>
      </w:r>
      <w:r/>
    </w:p>
    <w:p>
      <w:pPr>
        <w:ind w:firstLine="480"/>
        <w:pageBreakBefore w:val="0"/>
        <w:spacing w:line="56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磋商小组并非对每个供应商都作澄清要求。</w:t>
      </w:r>
      <w:r/>
    </w:p>
    <w:p>
      <w:pPr>
        <w:ind w:firstLine="480"/>
        <w:pageBreakBefore w:val="0"/>
        <w:spacing w:line="56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rPr>
          <w:rFonts w:ascii="Times New Roman" w:hAnsi="Times New Roman" w:cs="宋体"/>
          <w:color w:val="auto"/>
          <w:sz w:val="24"/>
          <w:szCs w:val="24"/>
          <w:highlight w:val="none"/>
        </w:rPr>
        <w:t xml:space="preserve">5</w:t>
      </w:r>
      <w:r>
        <w:rPr>
          <w:rFonts w:hint="eastAsia" w:ascii="Times New Roman" w:hAnsi="Times New Roman" w:cs="宋体"/>
          <w:color w:val="auto"/>
          <w:sz w:val="24"/>
          <w:szCs w:val="24"/>
          <w:highlight w:val="none"/>
        </w:rPr>
        <w:t xml:space="preserve">.2需要供应商进行澄清、说明和更正的，本项</w:t>
      </w:r>
      <w:r>
        <w:rPr>
          <w:rFonts w:hint="eastAsia" w:ascii="Times New Roman" w:hAnsi="Times New Roman" w:eastAsia="宋体" w:cs="宋体"/>
          <w:color w:val="auto"/>
          <w:sz w:val="24"/>
          <w:szCs w:val="24"/>
          <w:highlight w:val="none"/>
        </w:rPr>
        <w:t xml:space="preserve">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w:t>
      </w:r>
      <w:r>
        <w:rPr>
          <w:rFonts w:hint="eastAsia" w:ascii="Times New Roman" w:hAnsi="Times New Roman" w:cs="宋体"/>
          <w:color w:val="auto"/>
          <w:sz w:val="24"/>
          <w:szCs w:val="24"/>
          <w:highlight w:val="none"/>
        </w:rPr>
        <w:t xml:space="preserve">响应文件的补充部分，具体</w:t>
      </w:r>
      <w:r>
        <w:rPr>
          <w:rFonts w:ascii="Times New Roman" w:hAnsi="Times New Roman" w:cs="宋体"/>
          <w:color w:val="auto"/>
          <w:sz w:val="24"/>
          <w:szCs w:val="24"/>
          <w:highlight w:val="none"/>
        </w:rPr>
        <w:t xml:space="preserve">操作</w:t>
      </w:r>
      <w:r>
        <w:rPr>
          <w:rFonts w:hint="eastAsia" w:ascii="Times New Roman" w:hAnsi="Times New Roman" w:cs="宋体"/>
          <w:color w:val="auto"/>
          <w:sz w:val="24"/>
          <w:szCs w:val="24"/>
          <w:highlight w:val="none"/>
        </w:rPr>
        <w:t xml:space="preserve">方式</w:t>
      </w:r>
      <w:r>
        <w:rPr>
          <w:rFonts w:ascii="Times New Roman" w:hAnsi="Times New Roman" w:cs="宋体"/>
          <w:color w:val="auto"/>
          <w:sz w:val="24"/>
          <w:szCs w:val="24"/>
          <w:highlight w:val="none"/>
        </w:rPr>
        <w:t xml:space="preserve">见</w:t>
      </w:r>
      <w:r>
        <w:rPr>
          <w:rFonts w:hint="eastAsia" w:ascii="Times New Roman" w:hAnsi="Times New Roman" w:cs="宋体"/>
          <w:color w:val="auto"/>
          <w:sz w:val="24"/>
          <w:szCs w:val="24"/>
          <w:highlight w:val="none"/>
        </w:rPr>
        <w:t xml:space="preserve">《操作手册》。</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、对响应文件的审查</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响应文件审查分为资格审查和符合性审查。</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26.3未实质性响应磋商文件的情形</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26.3.1供应商在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规定的时间内未成功解密电子响应文件的。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26.3.2供应商未按照磋商文件要求上传电子响应文件的。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26.3.3同一供应商提交两个（含两个）以上不同的响应文件或者最后报价的。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26.3.4供应商不具备磋商文件中规定资格要求的。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26.3.5供应商的最后报价超过了采购预算。</w:t>
      </w:r>
      <w:r/>
    </w:p>
    <w:p>
      <w:pPr>
        <w:ind w:firstLine="480"/>
        <w:pageBreakBefore w:val="0"/>
        <w:spacing w:line="560" w:lineRule="exact"/>
        <w:widowControl w:val="off"/>
        <w:rPr>
          <w:rFonts w:hint="eastAsia" w:ascii="Times New Roman" w:hAnsi="Times New Roman"/>
          <w:bCs/>
          <w:i w:val="0"/>
          <w:iCs w:val="0"/>
          <w:color w:val="auto"/>
          <w:sz w:val="24"/>
          <w:szCs w:val="21"/>
          <w:highlight w:val="none"/>
        </w:rPr>
      </w:pPr>
      <w:r>
        <w:rPr>
          <w:rFonts w:hint="eastAsia" w:ascii="Times New Roman" w:hAnsi="Times New Roman"/>
          <w:bCs/>
          <w:color w:val="auto"/>
          <w:sz w:val="24"/>
          <w:szCs w:val="21"/>
          <w:highlight w:val="none"/>
        </w:rPr>
        <w:t xml:space="preserve">26.3.6不符合磋商文件中规定的实质性要求和条件的</w:t>
      </w:r>
      <w:r>
        <w:rPr>
          <w:rFonts w:hint="eastAsia" w:ascii="Times New Roman" w:hAnsi="Times New Roman"/>
          <w:bCs/>
          <w:i w:val="0"/>
          <w:iCs w:val="0"/>
          <w:caps w:val="0"/>
          <w:color w:val="auto"/>
          <w:sz w:val="24"/>
          <w:highlight w:val="none"/>
        </w:rPr>
        <w:t xml:space="preserve">（</w:t>
      </w:r>
      <w:r>
        <w:rPr>
          <w:rFonts w:hint="eastAsia" w:ascii="Times New Roman" w:hAnsi="Times New Roman"/>
          <w:bCs/>
          <w:i w:val="0"/>
          <w:iCs/>
          <w:caps w:val="0"/>
          <w:color w:val="auto"/>
          <w:sz w:val="24"/>
          <w:highlight w:val="none"/>
          <w:u w:val="single"/>
          <w:lang w:val="en-US" w:eastAsia="zh-CN"/>
        </w:rPr>
        <w:t xml:space="preserve">本磋商文件中加</w:t>
      </w:r>
      <w:r>
        <w:rPr>
          <w:rFonts w:hint="eastAsia" w:ascii="Times New Roman" w:hAnsi="Times New Roman"/>
          <w:bCs/>
          <w:i w:val="0"/>
          <w:iCs/>
          <w:caps w:val="0"/>
          <w:color w:val="auto"/>
          <w:sz w:val="24"/>
          <w:highlight w:val="none"/>
          <w:u w:val="single"/>
        </w:rPr>
        <w:t xml:space="preserve">★内容</w:t>
      </w:r>
      <w:r>
        <w:rPr>
          <w:rFonts w:hint="eastAsia"/>
          <w:bCs/>
          <w:i w:val="0"/>
          <w:iCs/>
          <w:caps w:val="0"/>
          <w:color w:val="auto"/>
          <w:sz w:val="24"/>
          <w:highlight w:val="none"/>
          <w:u w:val="single"/>
          <w:lang w:val="en-US" w:eastAsia="zh-CN"/>
        </w:rPr>
        <w:t xml:space="preserve">为实质性</w:t>
      </w:r>
      <w:r>
        <w:rPr>
          <w:rFonts w:hint="eastAsia" w:ascii="Times New Roman" w:hAnsi="Times New Roman"/>
          <w:bCs/>
          <w:i w:val="0"/>
          <w:iCs/>
          <w:caps w:val="0"/>
          <w:color w:val="auto"/>
          <w:sz w:val="24"/>
          <w:highlight w:val="none"/>
          <w:u w:val="single"/>
        </w:rPr>
        <w:t xml:space="preserve">要求和条件）</w:t>
      </w:r>
      <w:r>
        <w:rPr>
          <w:rFonts w:hint="eastAsia" w:ascii="Times New Roman" w:hAnsi="Times New Roman"/>
          <w:bCs/>
          <w:i w:val="0"/>
          <w:iCs w:val="0"/>
          <w:caps w:val="0"/>
          <w:color w:val="auto"/>
          <w:sz w:val="24"/>
          <w:highlight w:val="none"/>
          <w:u w:val="single"/>
        </w:rPr>
        <w:t xml:space="preserve">。</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26.3.8响应文件含有采购人不能接受的附加条件的。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26.3.10响应文件未按照磋商文件要求加盖CA电子公章的。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26.4未实质性响应磋商文件的响应文件按无效响应处理。</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560" w:lineRule="exact"/>
        <w:widowControl w:val="off"/>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.6供应商在项目评审全过程中应保持通讯畅通，并安排专人与采购代理机构及磋商小组联系。</w:t>
      </w:r>
      <w:r/>
    </w:p>
    <w:p>
      <w:pPr>
        <w:ind w:firstLine="420"/>
        <w:keepLines/>
        <w:keepNext/>
        <w:pageBreakBefore w:val="0"/>
        <w:spacing w:line="56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、磋商程序及评审方法和评审标准</w:t>
      </w:r>
      <w:r/>
    </w:p>
    <w:p>
      <w:pPr>
        <w:ind w:firstLine="477"/>
        <w:pageBreakBefore w:val="0"/>
        <w:spacing w:line="560" w:lineRule="exact"/>
        <w:widowControl w:val="off"/>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27.1磋商程序</w:t>
      </w:r>
      <w:r/>
    </w:p>
    <w:p>
      <w:pPr>
        <w:ind w:firstLine="477"/>
        <w:pageBreakBefore w:val="0"/>
        <w:spacing w:line="560" w:lineRule="exact"/>
        <w:widowControl w:val="off"/>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560" w:lineRule="exact"/>
        <w:widowControl w:val="off"/>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560" w:lineRule="exact"/>
        <w:widowControl w:val="off"/>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27.1.2</w:t>
      </w:r>
      <w:r>
        <w:rPr>
          <w:rFonts w:ascii="Times New Roman" w:hAnsi="Times New Roman"/>
          <w:color w:val="auto"/>
          <w:sz w:val="24"/>
          <w:szCs w:val="24"/>
          <w:highlight w:val="none"/>
        </w:rPr>
        <w:t xml:space="preserve">磋商文件能够详细列明采购标的的技术、服务要求的，磋商结束后，磋商小组</w:t>
      </w:r>
      <w:r>
        <w:rPr>
          <w:rFonts w:hint="eastAsia" w:ascii="Times New Roman" w:hAnsi="Times New Roman"/>
          <w:color w:val="auto"/>
          <w:sz w:val="24"/>
          <w:szCs w:val="24"/>
          <w:highlight w:val="none"/>
        </w:rPr>
        <w:t xml:space="preserve">将在苏采云系统向所有</w:t>
      </w:r>
      <w:r>
        <w:rPr>
          <w:rFonts w:ascii="Times New Roman" w:hAnsi="Times New Roman"/>
          <w:color w:val="auto"/>
          <w:sz w:val="24"/>
          <w:szCs w:val="24"/>
          <w:highlight w:val="none"/>
        </w:rPr>
        <w:t xml:space="preserve">实质性响应的供应商</w:t>
      </w:r>
      <w:r>
        <w:rPr>
          <w:rFonts w:hint="eastAsia" w:ascii="Times New Roman" w:hAnsi="Times New Roman"/>
          <w:color w:val="auto"/>
          <w:sz w:val="24"/>
          <w:szCs w:val="24"/>
          <w:highlight w:val="none"/>
        </w:rPr>
        <w:t xml:space="preserve">发布“最后报价要求函”及最后报价格式表，</w:t>
      </w:r>
      <w:r>
        <w:rPr>
          <w:rFonts w:ascii="Times New Roman" w:hAnsi="Times New Roman"/>
          <w:color w:val="auto"/>
          <w:sz w:val="24"/>
          <w:szCs w:val="24"/>
          <w:highlight w:val="none"/>
        </w:rPr>
        <w:t xml:space="preserve">要求所有实质性响应的供应商在规定时间内提交最后报价。</w:t>
      </w:r>
      <w:r/>
    </w:p>
    <w:p>
      <w:pPr>
        <w:ind w:firstLine="477"/>
        <w:pageBreakBefore w:val="0"/>
        <w:spacing w:line="560" w:lineRule="exact"/>
        <w:widowControl w:val="off"/>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60" w:lineRule="exact"/>
        <w:widowControl w:val="off"/>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560" w:lineRule="exact"/>
        <w:widowControl w:val="off"/>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auto"/>
          <w:sz w:val="24"/>
          <w:szCs w:val="24"/>
          <w:highlight w:val="none"/>
        </w:rPr>
        <w:t xml:space="preserve">已提交响应文件的供应商，在提交最后报价之前，可以根据磋商情况退出磋商</w:t>
      </w:r>
      <w:r>
        <w:rPr>
          <w:rFonts w:hint="eastAsia" w:ascii="Times New Roman" w:hAnsi="Times New Roman"/>
          <w:color w:val="auto"/>
          <w:sz w:val="24"/>
          <w:szCs w:val="24"/>
          <w:highlight w:val="none"/>
        </w:rPr>
        <w:t xml:space="preserve">，并在苏采云系统中提交“退出磋商函”并加盖CA电子公章</w:t>
      </w:r>
      <w:r>
        <w:rPr>
          <w:rFonts w:ascii="Times New Roman" w:hAnsi="Times New Roman"/>
          <w:color w:val="auto"/>
          <w:sz w:val="24"/>
          <w:szCs w:val="24"/>
          <w:highlight w:val="none"/>
        </w:rPr>
        <w:t xml:space="preserve">。</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bookmarkStart w:id="62" w:name="_Toc28695"/>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异常低价投标审查</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评审过程中出现下列情形之一的，</w:t>
      </w:r>
      <w:r>
        <w:rPr>
          <w:rFonts w:hint="eastAsia" w:ascii="宋体" w:hAnsi="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rPr>
        <w:t xml:space="preserve">应当启动异常低价响应审查程序：</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（1）响应报价低于全部通过符合性审查供应商响应报价平均值50%的，即响应报价&lt;全部通过符合性审查供应商响应报价平均值×50%；</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（2）响应报价低于通过符合性审查的次低报价供应商响应报价50%的，即响应报价&lt;通过符合性审查的次低报价供应商响应报价×5%；</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（3）响应报价低于采购项目最高限价45%的，即响应报价&lt;采购项目最高限价×45%；</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highlight w:val="none"/>
        </w:rPr>
      </w:pPr>
      <w:r>
        <w:rPr>
          <w:rFonts w:hint="eastAsia" w:ascii="宋体" w:hAnsi="宋体" w:eastAsia="宋体" w:cs="宋体"/>
          <w:color w:val="000000"/>
          <w:sz w:val="24"/>
          <w:szCs w:val="24"/>
          <w:highlight w:val="none"/>
          <w:lang w:val="en-US" w:eastAsia="zh-CN"/>
        </w:rPr>
        <w:t xml:space="preserve">27.2.2</w:t>
      </w:r>
      <w:r>
        <w:rPr>
          <w:rFonts w:hint="eastAsia" w:ascii="Times New Roman" w:hAnsi="Times New Roman"/>
          <w:sz w:val="24"/>
          <w:szCs w:val="24"/>
          <w:highlight w:val="none"/>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7"/>
        <w:pageBreakBefore w:val="0"/>
        <w:spacing w:line="560" w:lineRule="exact"/>
        <w:widowControl w:val="off"/>
        <w:tabs>
          <w:tab w:val="left" w:pos="900" w:leader="none"/>
        </w:tabs>
        <w:rPr>
          <w:rFonts w:hint="eastAsia" w:ascii="Times New Roman" w:hAnsi="Times New Roman"/>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评审方法和评审标准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.2评审标准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采购活动终止的情况</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.2出现影响采购公正的违法、违规行为的。</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w:t>
      </w:r>
      <w:r>
        <w:rPr>
          <w:rFonts w:hint="eastAsia" w:ascii="Times New Roman" w:hAnsi="Times New Roman" w:cs="仿宋"/>
          <w:sz w:val="24"/>
          <w:highlight w:val="none"/>
        </w:rPr>
        <w:t xml:space="preserve">因重大变故，采购任务取消的。</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除本磋商文件第二章第27.1.2条第三款规定的情形外，在采购过程中符合要求的供应商或者最后报价未超过采购预算的供应商不足3家的。</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Times New Roman" w:hAnsi="Times New Roman" w:cs="仿宋"/>
          <w:sz w:val="24"/>
          <w:highlight w:val="none"/>
        </w:rPr>
        <w:t xml:space="preserve">磋商小组认定磋商文件存在歧义、重大缺陷导致评审工作无法进行。</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在苏采云系统规定时间内成功解密电子响应文件的供应商不足3家的。</w:t>
      </w:r>
      <w:r/>
    </w:p>
    <w:p>
      <w:pPr>
        <w:ind w:firstLine="482"/>
        <w:keepLines/>
        <w:keepNext/>
        <w:pageBreakBefore w:val="0"/>
        <w:spacing w:line="560" w:lineRule="exact"/>
        <w:widowControl w:val="off"/>
        <w:rPr>
          <w:rFonts w:hint="eastAsia"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六、成交</w:t>
      </w:r>
      <w:bookmarkEnd w:id="62"/>
      <w:r/>
      <w:r/>
    </w:p>
    <w:p>
      <w:pPr>
        <w:ind w:firstLine="600"/>
        <w:keepLines/>
        <w:keepNext/>
        <w:pageBreakBefore w:val="0"/>
        <w:spacing w:line="560" w:lineRule="exact"/>
        <w:widowControl w:val="off"/>
        <w:rPr>
          <w:rFonts w:hint="eastAsia"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、确定成交单位</w:t>
      </w:r>
      <w:r/>
    </w:p>
    <w:p>
      <w:pPr>
        <w:ind w:firstLine="477"/>
        <w:pageBreakBefore w:val="0"/>
        <w:spacing w:line="560" w:lineRule="exact"/>
        <w:widowControl w:val="off"/>
        <w:tabs>
          <w:tab w:val="left" w:pos="900" w:leader="none"/>
        </w:tabs>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w:t>
      </w:r>
      <w:r>
        <w:rPr>
          <w:rFonts w:hint="eastAsia"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pageBreakBefore w:val="0"/>
        <w:spacing w:line="560" w:lineRule="exact"/>
        <w:widowControl w:val="off"/>
        <w:tabs>
          <w:tab w:val="left" w:pos="900" w:leader="none"/>
        </w:tabs>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pageBreakBefore w:val="0"/>
        <w:spacing w:line="560" w:lineRule="exact"/>
        <w:widowControl w:val="off"/>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.2采购人从评审报告提出的成交候选供应商中，按照排序由高到低的原则确定成交供应商。</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按以下第</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u w:val="single"/>
          <w:lang w:val="en-US" w:eastAsia="zh-CN"/>
        </w:rPr>
        <w:t xml:space="preserve">1</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lang w:val="zh-CN"/>
        </w:rPr>
        <w:t xml:space="preserve">种方式确定成交供应商</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（1）磋商小组直接确定排名第一的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为成交供应商；</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（2）采购人</w:t>
      </w:r>
      <w:r>
        <w:rPr>
          <w:rFonts w:hint="eastAsia" w:ascii="Times New Roman" w:hAnsi="Times New Roman"/>
          <w:bCs/>
          <w:color w:val="auto"/>
          <w:sz w:val="24"/>
          <w:szCs w:val="21"/>
          <w:highlight w:val="none"/>
        </w:rPr>
        <w:t xml:space="preserve">从评审报告提出</w:t>
      </w:r>
      <w:r>
        <w:rPr>
          <w:rFonts w:hint="eastAsia" w:ascii="Times New Roman" w:hAnsi="Times New Roman"/>
          <w:bCs/>
          <w:color w:val="auto"/>
          <w:sz w:val="24"/>
          <w:highlight w:val="none"/>
          <w:lang w:val="zh-CN"/>
        </w:rPr>
        <w:t xml:space="preserve">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7"/>
        <w:pageBreakBefore w:val="0"/>
        <w:spacing w:line="560" w:lineRule="exact"/>
        <w:widowControl w:val="off"/>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highlight w:val="none"/>
          <w:lang w:val="zh-CN"/>
        </w:rPr>
        <w:t xml:space="preserve">按第</w:t>
      </w:r>
      <w:r>
        <w:rPr>
          <w:rFonts w:hint="eastAsia" w:ascii="Times New Roman" w:hAnsi="Times New Roman"/>
          <w:bCs/>
          <w:color w:val="auto"/>
          <w:sz w:val="24"/>
          <w:highlight w:val="none"/>
        </w:rPr>
        <w:t xml:space="preserve">2</w:t>
      </w:r>
      <w:r>
        <w:rPr>
          <w:rFonts w:hint="eastAsia" w:ascii="Times New Roman" w:hAnsi="Times New Roman"/>
          <w:bCs/>
          <w:color w:val="auto"/>
          <w:sz w:val="24"/>
          <w:highlight w:val="none"/>
          <w:lang w:val="zh-CN"/>
        </w:rPr>
        <w:t xml:space="preserve">种方式确定成交供应商的，</w:t>
      </w:r>
      <w:r>
        <w:rPr>
          <w:rFonts w:hint="eastAsia" w:ascii="Times New Roman" w:hAnsi="Times New Roman"/>
          <w:bCs/>
          <w:color w:val="auto"/>
          <w:sz w:val="24"/>
          <w:highlight w:val="none"/>
        </w:rPr>
        <w:t xml:space="preserve">采购代理机构</w:t>
      </w:r>
      <w:r>
        <w:rPr>
          <w:rFonts w:hint="eastAsia" w:ascii="Times New Roman" w:hAnsi="Times New Roman"/>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7"/>
        <w:pageBreakBefore w:val="0"/>
        <w:spacing w:line="560" w:lineRule="exact"/>
        <w:widowControl w:val="off"/>
        <w:tabs>
          <w:tab w:val="left" w:pos="900" w:leader="none"/>
        </w:tabs>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8.3</w:t>
      </w:r>
      <w:r>
        <w:rPr>
          <w:rFonts w:hint="eastAsia" w:ascii="Times New Roman" w:hAnsi="Times New Roman"/>
          <w:bCs/>
          <w:color w:val="auto"/>
          <w:sz w:val="24"/>
          <w:szCs w:val="21"/>
          <w:highlight w:val="none"/>
        </w:rPr>
        <w:t xml:space="preserve">成交供应商确定后，采购代理机构将在“宿迁市政府采购网”发布成交结果公告，公告期限为1个工作日。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若有充分证据证明，成交供应商出现下列情况之一的，一经查实，将被取消成交资格：</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.1提供虚假材料谋取成交的。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.2与评审专家、采购人、其他供应商或者</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工作人员恶意串通的。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.3向评审专家、采购人或</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工作人员行贿或者提供其他不正当利益的。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.4恶意竞争，最后报价明显低于其自身合理成本且又无法提供证明的。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.5不满足本磋商文件规定的实质性要求，但在评审过程中又未被磋商小组发现的。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.6成交后无正当理由拒不与采购人签订政府采购合同或者未按照磋商文件确定的事项签订政府采购合同的。</w:t>
      </w:r>
      <w:r/>
    </w:p>
    <w:p>
      <w:pPr>
        <w:ind w:firstLine="480"/>
        <w:pageBreakBefore w:val="0"/>
        <w:spacing w:line="560" w:lineRule="exact"/>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.7将政府采购合同转包的。</w:t>
      </w:r>
      <w:r/>
    </w:p>
    <w:p>
      <w:pPr>
        <w:ind w:firstLine="600"/>
        <w:keepLines/>
        <w:keepNext/>
        <w:pageBreakBefore w:val="0"/>
        <w:spacing w:line="560" w:lineRule="exact"/>
        <w:widowControl w:val="off"/>
        <w:rPr>
          <w:rFonts w:hint="eastAsia"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.2.1</w:t>
      </w:r>
      <w:r>
        <w:rPr>
          <w:rFonts w:ascii="Times New Roman" w:hAnsi="Times New Roman" w:cs="宋体"/>
          <w:color w:val="auto"/>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auto"/>
          <w:sz w:val="24"/>
          <w:szCs w:val="24"/>
          <w:highlight w:val="none"/>
        </w:rPr>
        <w:t xml:space="preserve">。</w:t>
      </w:r>
      <w:r/>
    </w:p>
    <w:p>
      <w:pPr>
        <w:ind w:firstLine="480"/>
        <w:pageBreakBefore w:val="0"/>
        <w:spacing w:line="560" w:lineRule="exact"/>
        <w:widowControl w:val="off"/>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.2.2</w:t>
      </w:r>
      <w:r>
        <w:rPr>
          <w:rFonts w:ascii="Times New Roman" w:hAnsi="Times New Roman" w:cs="宋体"/>
          <w:color w:val="auto"/>
          <w:sz w:val="24"/>
          <w:szCs w:val="24"/>
          <w:highlight w:val="none"/>
        </w:rPr>
        <w:t xml:space="preserve">对采购过程提出质疑的，为各采购程序环节结束之日</w:t>
      </w:r>
      <w:r>
        <w:rPr>
          <w:rFonts w:hint="eastAsia" w:ascii="Times New Roman" w:hAnsi="Times New Roman" w:cs="宋体"/>
          <w:color w:val="auto"/>
          <w:sz w:val="24"/>
          <w:szCs w:val="24"/>
          <w:highlight w:val="none"/>
        </w:rPr>
        <w:t xml:space="preserve">。</w:t>
      </w:r>
      <w:r/>
    </w:p>
    <w:p>
      <w:pPr>
        <w:ind w:firstLine="480"/>
        <w:pageBreakBefore w:val="0"/>
        <w:spacing w:line="560" w:lineRule="exact"/>
        <w:widowControl w:val="off"/>
        <w:rPr>
          <w:rFonts w:hint="eastAsia"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.2.3</w:t>
      </w:r>
      <w:r>
        <w:rPr>
          <w:rFonts w:ascii="Times New Roman" w:hAnsi="Times New Roman" w:cs="宋体"/>
          <w:color w:val="auto"/>
          <w:sz w:val="24"/>
          <w:szCs w:val="24"/>
          <w:highlight w:val="none"/>
        </w:rPr>
        <w:t xml:space="preserve">对成交结果提出质疑的，为成交结果公告期限届满之日。</w:t>
      </w:r>
      <w:r/>
    </w:p>
    <w:p>
      <w:pPr>
        <w:ind w:firstLine="480"/>
        <w:pageBreakBefore w:val="0"/>
        <w:spacing w:line="56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auto"/>
          <w:sz w:val="24"/>
          <w:szCs w:val="21"/>
          <w:highlight w:val="none"/>
        </w:rPr>
        <w:t xml:space="preserve">采购代理机构</w:t>
      </w:r>
      <w:r>
        <w:rPr>
          <w:rFonts w:hint="eastAsia" w:ascii="Times New Roman" w:hAnsi="Times New Roman" w:cs="宋体"/>
          <w:color w:val="auto"/>
          <w:sz w:val="24"/>
          <w:szCs w:val="24"/>
          <w:highlight w:val="none"/>
        </w:rPr>
        <w:t xml:space="preserve">、</w:t>
      </w:r>
      <w:r>
        <w:rPr>
          <w:rFonts w:ascii="Times New Roman" w:hAnsi="Times New Roman" w:cs="宋体"/>
          <w:color w:val="auto"/>
          <w:sz w:val="24"/>
          <w:szCs w:val="24"/>
          <w:highlight w:val="none"/>
        </w:rPr>
        <w:t xml:space="preserve">采购人</w:t>
      </w:r>
      <w:r>
        <w:rPr>
          <w:rFonts w:hint="eastAsia" w:ascii="Times New Roman" w:hAnsi="Times New Roman" w:cs="宋体"/>
          <w:color w:val="auto"/>
          <w:sz w:val="24"/>
          <w:szCs w:val="24"/>
          <w:highlight w:val="none"/>
        </w:rPr>
        <w:t xml:space="preserve">将只对供应商第一次质疑作出答复。</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4"/>
          <w:highlight w:val="none"/>
          <w:lang w:val="en-US" w:eastAsia="zh-CN"/>
        </w:rPr>
        <w:t xml:space="preserve">供应商应</w:t>
      </w:r>
      <w:r>
        <w:rPr>
          <w:rFonts w:hint="eastAsia" w:ascii="Times New Roman" w:hAnsi="Times New Roman" w:eastAsia="宋体" w:cs="Times New Roman"/>
          <w:color w:val="auto"/>
          <w:sz w:val="24"/>
          <w:szCs w:val="24"/>
          <w:highlight w:val="none"/>
          <w:lang w:val="en-US" w:eastAsia="zh-CN"/>
        </w:rPr>
        <w:t xml:space="preserve">以书面形式向采购人或者其委托的采购代理机构提出质疑。质疑超出采购机构代理范围的，供应商应当向采购人提出。</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接收质疑函的方式：现场接收或邮寄接收。</w:t>
      </w:r>
      <w:r/>
    </w:p>
    <w:p>
      <w:pPr>
        <w:ind w:firstLine="480"/>
        <w:pageBreakBefore w:val="0"/>
        <w:spacing w:line="560" w:lineRule="exact"/>
        <w:widowControl w:val="off"/>
        <w:rPr>
          <w:rFonts w:hint="eastAsia" w:ascii="Times New Roman" w:hAnsi="Times New Roman"/>
          <w:color w:val="auto"/>
          <w:sz w:val="24"/>
          <w:szCs w:val="24"/>
          <w:highlight w:val="none"/>
          <w:u w:val="single"/>
          <w:lang w:val="en-US" w:eastAsia="zh-CN"/>
        </w:rPr>
      </w:pPr>
      <w:r>
        <w:rPr>
          <w:rFonts w:hint="eastAsia" w:ascii="Times New Roman" w:hAnsi="Times New Roman"/>
          <w:color w:val="auto"/>
          <w:sz w:val="24"/>
          <w:szCs w:val="24"/>
          <w:highlight w:val="none"/>
        </w:rPr>
        <w:t xml:space="preserve">联系部门： </w:t>
      </w:r>
      <w:r>
        <w:rPr>
          <w:rFonts w:hint="eastAsia" w:ascii="Times New Roman" w:hAnsi="Times New Roman"/>
          <w:color w:val="auto"/>
          <w:sz w:val="24"/>
          <w:szCs w:val="24"/>
          <w:highlight w:val="none"/>
          <w:u w:val="single"/>
        </w:rPr>
        <w:t xml:space="preserve">宿迁市生态环境监测监控服务中心</w:t>
      </w:r>
      <w:r>
        <w:rPr>
          <w:rFonts w:hint="eastAsia" w:ascii="Times New Roman" w:hAnsi="Times New Roman"/>
          <w:color w:val="auto"/>
          <w:sz w:val="24"/>
          <w:szCs w:val="24"/>
          <w:highlight w:val="none"/>
          <w:u w:val="single"/>
          <w:lang w:val="en-US" w:eastAsia="zh-CN"/>
        </w:rPr>
        <w:t xml:space="preserve">、江苏天园项目管理集团有限公司 </w:t>
      </w:r>
      <w:r/>
    </w:p>
    <w:p>
      <w:pPr>
        <w:ind w:firstLine="480"/>
        <w:pageBreakBefore w:val="0"/>
        <w:spacing w:line="560" w:lineRule="exact"/>
        <w:widowControl w:val="off"/>
        <w:rPr>
          <w:rFonts w:hint="default" w:ascii="Times New Roman" w:hAnsi="Times New Roman" w:eastAsia="宋体"/>
          <w:color w:val="auto"/>
          <w:sz w:val="24"/>
          <w:szCs w:val="24"/>
          <w:highlight w:val="none"/>
          <w:u w:val="single"/>
          <w:lang w:val="en-US" w:eastAsia="zh-CN"/>
        </w:rPr>
      </w:pPr>
      <w:r>
        <w:rPr>
          <w:rFonts w:hint="eastAsia" w:ascii="Times New Roman" w:hAnsi="Times New Roman"/>
          <w:color w:val="auto"/>
          <w:sz w:val="24"/>
          <w:szCs w:val="24"/>
          <w:highlight w:val="none"/>
        </w:rPr>
        <w:t xml:space="preserve">联系电话： </w:t>
      </w:r>
      <w:r>
        <w:rPr>
          <w:rFonts w:hint="eastAsia" w:ascii="Times New Roman" w:hAnsi="Times New Roman"/>
          <w:color w:val="auto"/>
          <w:sz w:val="24"/>
          <w:szCs w:val="24"/>
          <w:highlight w:val="none"/>
          <w:u w:val="single"/>
        </w:rPr>
        <w:t xml:space="preserve">0527-84338821</w:t>
      </w:r>
      <w:r>
        <w:rPr>
          <w:rFonts w:hint="eastAsia" w:ascii="Times New Roman" w:hAnsi="Times New Roman" w:eastAsia="宋体" w:cs="Times New Roman"/>
          <w:color w:val="auto"/>
          <w:sz w:val="24"/>
          <w:szCs w:val="24"/>
          <w:highlight w:val="none"/>
          <w:u w:val="single"/>
          <w:lang w:val="en-US" w:eastAsia="zh-CN"/>
        </w:rPr>
        <w:t xml:space="preserve">、0527-888119</w:t>
      </w:r>
      <w:r>
        <w:rPr>
          <w:rFonts w:hint="eastAsia" w:cs="Times New Roman"/>
          <w:color w:val="auto"/>
          <w:sz w:val="24"/>
          <w:szCs w:val="24"/>
          <w:highlight w:val="none"/>
          <w:u w:val="single"/>
          <w:lang w:val="en-US" w:eastAsia="zh-CN"/>
        </w:rPr>
        <w:t xml:space="preserve">10</w:t>
      </w:r>
      <w:r/>
    </w:p>
    <w:p>
      <w:pPr>
        <w:ind w:firstLine="480"/>
        <w:pageBreakBefore w:val="0"/>
        <w:spacing w:line="560" w:lineRule="exact"/>
        <w:widowControl w:val="off"/>
        <w:rPr>
          <w:rFonts w:hint="default" w:ascii="Times New Roman" w:hAnsi="Times New Roman"/>
          <w:color w:val="auto"/>
          <w:sz w:val="24"/>
          <w:szCs w:val="24"/>
          <w:highlight w:val="none"/>
          <w:u w:val="single"/>
          <w:lang w:val="en-US" w:eastAsia="zh-CN"/>
        </w:rPr>
      </w:pPr>
      <w:r>
        <w:rPr>
          <w:rFonts w:hint="eastAsia" w:ascii="Times New Roman" w:hAnsi="Times New Roman"/>
          <w:color w:val="auto"/>
          <w:sz w:val="24"/>
          <w:szCs w:val="24"/>
          <w:highlight w:val="none"/>
        </w:rPr>
        <w:t xml:space="preserve">通讯地址： </w:t>
      </w:r>
      <w:r>
        <w:rPr>
          <w:rFonts w:hint="eastAsia" w:ascii="Times New Roman" w:hAnsi="Times New Roman" w:eastAsia="宋体" w:cs="Times New Roman"/>
          <w:color w:val="auto"/>
          <w:sz w:val="24"/>
          <w:szCs w:val="24"/>
          <w:highlight w:val="none"/>
          <w:u w:val="single"/>
        </w:rPr>
        <w:t xml:space="preserve">宿迁市宿豫区银桂路软件园内</w:t>
      </w:r>
      <w:r>
        <w:rPr>
          <w:rFonts w:hint="eastAsia" w:ascii="Times New Roman" w:hAnsi="Times New Roman" w:eastAsia="宋体" w:cs="Times New Roman"/>
          <w:color w:val="auto"/>
          <w:sz w:val="24"/>
          <w:szCs w:val="24"/>
          <w:highlight w:val="none"/>
          <w:u w:val="single"/>
          <w:lang w:val="en-US" w:eastAsia="zh-CN"/>
        </w:rPr>
        <w:t xml:space="preserve">、宿</w:t>
      </w:r>
      <w:r>
        <w:rPr>
          <w:rFonts w:hint="eastAsia" w:ascii="Times New Roman" w:hAnsi="Times New Roman"/>
          <w:color w:val="auto"/>
          <w:sz w:val="24"/>
          <w:szCs w:val="24"/>
          <w:highlight w:val="none"/>
          <w:u w:val="single"/>
          <w:lang w:val="en-US" w:eastAsia="zh-CN"/>
        </w:rPr>
        <w:t xml:space="preserve">迁市宿城区迅驰路23号(天园大厦)三楼</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 以下情形的质疑不予受理</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.5.1 内容不符合《政府采购质疑和投诉办法》第十二条规定的质疑。</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.5.2 超出政府采购法定期限的质疑。</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.5.3 以传真、电子邮件等方式递交的非原件形式的质疑。</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.5.4 未参加磋商活动的供应商或在磋商活动中自身权益未受到损害的供应商所提出的质疑。</w:t>
      </w:r>
      <w:r/>
    </w:p>
    <w:p>
      <w:pPr>
        <w:ind w:firstLine="48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.5.5供应商组成联合体参加磋商，联合体中任何一方或多方未按要求签字、盖章、加盖公章的质疑。</w:t>
      </w:r>
      <w:r/>
    </w:p>
    <w:p>
      <w:pPr>
        <w:ind w:firstLine="468"/>
        <w:pageBreakBefore w:val="0"/>
        <w:spacing w:line="56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.6  供应商提出书面质疑必须有理、有据，不得捏造事实、提供虚假材料进行恶意质疑。否则，一经查实，</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68"/>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29.7</w:t>
      </w:r>
      <w:r>
        <w:rPr>
          <w:rFonts w:hint="eastAsia" w:ascii="Times New Roman" w:hAnsi="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pageBreakBefore w:val="0"/>
        <w:spacing w:line="560" w:lineRule="exact"/>
        <w:widowControl w:val="off"/>
        <w:rPr>
          <w:rFonts w:hint="eastAsia"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、成交通知书</w:t>
      </w:r>
      <w:r/>
    </w:p>
    <w:p>
      <w:pPr>
        <w:ind w:firstLine="60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0</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Times New Roman" w:hAnsi="Times New Roman"/>
          <w:b/>
          <w:bCs/>
          <w:color w:val="auto"/>
          <w:sz w:val="32"/>
          <w:szCs w:val="32"/>
          <w:highlight w:val="none"/>
        </w:rPr>
        <w:outlineLvl w:val="2"/>
      </w:pPr>
      <w:r/>
      <w:bookmarkStart w:id="63" w:name="_Toc22356"/>
      <w:r>
        <w:rPr>
          <w:rFonts w:hint="eastAsia" w:ascii="Times New Roman" w:hAnsi="Times New Roman"/>
          <w:b/>
          <w:bCs/>
          <w:color w:val="auto"/>
          <w:sz w:val="32"/>
          <w:szCs w:val="32"/>
          <w:highlight w:val="none"/>
        </w:rPr>
        <w:t xml:space="preserve">七、授予合同</w:t>
      </w:r>
      <w:bookmarkEnd w:id="63"/>
      <w:r/>
      <w:r/>
    </w:p>
    <w:p>
      <w:pPr>
        <w:ind w:firstLine="600"/>
        <w:keepLines/>
        <w:keepNext/>
        <w:pageBreakBefore w:val="0"/>
        <w:spacing w:line="560" w:lineRule="exact"/>
        <w:widowControl w:val="off"/>
        <w:rPr>
          <w:rFonts w:hint="eastAsia"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bCs/>
          <w:color w:val="auto"/>
          <w:sz w:val="24"/>
          <w:szCs w:val="24"/>
          <w:highlight w:val="none"/>
        </w:rPr>
        <w:t xml:space="preserve">3</w:t>
      </w:r>
      <w:r>
        <w:rPr>
          <w:rFonts w:ascii="Times New Roman" w:hAnsi="Times New Roman"/>
          <w:bCs/>
          <w:color w:val="auto"/>
          <w:sz w:val="24"/>
          <w:szCs w:val="24"/>
          <w:highlight w:val="none"/>
        </w:rPr>
        <w:t xml:space="preserve">1</w:t>
      </w:r>
      <w:r>
        <w:rPr>
          <w:rFonts w:hint="eastAsia" w:ascii="Times New Roman" w:hAnsi="Times New Roman"/>
          <w:color w:val="auto"/>
          <w:sz w:val="24"/>
          <w:szCs w:val="24"/>
          <w:highlight w:val="none"/>
        </w:rPr>
        <w:t xml:space="preserve">.l成交供应商应当在成交通知书发出之日起1</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日内，按照磋商文件确定的事项与采购人签订政府采购合同。</w:t>
      </w:r>
      <w:r/>
    </w:p>
    <w:p>
      <w:pPr>
        <w:ind w:firstLine="60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.2磋商文件、成交供应商的响应文件及磋商过程中有关澄清、承诺文件均应作为合同附件。</w:t>
      </w:r>
      <w:r/>
    </w:p>
    <w:p>
      <w:pPr>
        <w:ind w:firstLine="600"/>
        <w:pageBreakBefore w:val="0"/>
        <w:spacing w:line="5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 签订合同后</w:t>
      </w:r>
      <w:r>
        <w:rPr>
          <w:rFonts w:hint="eastAsia" w:ascii="Times New Roman" w:hAnsi="Times New Roman" w:eastAsia="宋体" w:cs="Times New Roman"/>
          <w:color w:val="auto"/>
          <w:sz w:val="24"/>
          <w:szCs w:val="24"/>
          <w:highlight w:val="none"/>
        </w:rPr>
        <w:t xml:space="preserve">，成交供应商不得将合同标的进行转包。</w:t>
      </w:r>
      <w:r>
        <w:rPr>
          <w:rFonts w:hint="eastAsia" w:ascii="Times New Roman" w:hAnsi="Times New Roman"/>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.4本项目的非主体、非关键性工作是否允许分包按以下第</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2</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种方式确定：</w:t>
      </w:r>
      <w:r/>
    </w:p>
    <w:p>
      <w:pPr>
        <w:ind w:firstLine="720"/>
        <w:pageBreakBefore w:val="0"/>
        <w:spacing w:line="560" w:lineRule="exact"/>
        <w:widowControl w:val="off"/>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允许分包，允许大中型企业向一家或者多家小微企业分包，分包具体内容、金额或比例：</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w:t>
      </w:r>
      <w:r>
        <w:rPr>
          <w:rFonts w:hint="eastAsia" w:ascii="Times New Roman" w:hAnsi="Times New Roman"/>
          <w:color w:val="auto"/>
          <w:sz w:val="24"/>
          <w:szCs w:val="24"/>
          <w:highlight w:val="none"/>
          <w:u w:val="single"/>
        </w:rPr>
        <w:t xml:space="preserve">   ；</w:t>
      </w:r>
      <w:r/>
    </w:p>
    <w:p>
      <w:pPr>
        <w:ind w:firstLine="60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 2.</w:t>
      </w:r>
      <w:r>
        <w:rPr>
          <w:rFonts w:hint="eastAsia" w:ascii="Times New Roman" w:hAnsi="Times New Roman"/>
          <w:color w:val="auto"/>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hint="eastAsia" w:ascii="Times New Roman" w:hAnsi="Times New Roman"/>
          <w:bCs/>
          <w:color w:val="auto"/>
          <w:sz w:val="24"/>
          <w:highlight w:val="none"/>
          <w:lang w:val="en-US" w:eastAsia="zh-CN"/>
        </w:rPr>
        <w:t xml:space="preserve">1</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履约保证金</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按照以下第</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eastAsia="zh-CN"/>
        </w:rPr>
        <w:t xml:space="preserve">（</w:t>
      </w:r>
      <w:r>
        <w:rPr>
          <w:rFonts w:hint="eastAsia" w:ascii="Times New Roman" w:hAnsi="Times New Roman"/>
          <w:bCs/>
          <w:color w:val="auto"/>
          <w:sz w:val="24"/>
          <w:highlight w:val="none"/>
          <w:u w:val="single"/>
          <w:lang w:val="en-US" w:eastAsia="zh-CN"/>
        </w:rPr>
        <w:t xml:space="preserve">1</w:t>
      </w:r>
      <w:r>
        <w:rPr>
          <w:rFonts w:hint="eastAsia" w:ascii="Times New Roman" w:hAnsi="Times New Roman"/>
          <w:bCs/>
          <w:color w:val="auto"/>
          <w:sz w:val="24"/>
          <w:highlight w:val="none"/>
          <w:u w:val="single"/>
          <w:lang w:eastAsia="zh-CN"/>
        </w:rPr>
        <w:t xml:space="preserve">）</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lang w:val="zh-CN"/>
        </w:rPr>
        <w:t xml:space="preserve">方式确定履约保证收取方式。</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(1)不收取履约保证金。</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(2)履约保证金应在采购合同签订前提交，履约保证金的金额</w:t>
      </w:r>
      <w:r>
        <w:rPr>
          <w:rFonts w:hint="eastAsia" w:ascii="Times New Roman" w:hAnsi="Times New Roman"/>
          <w:bCs/>
          <w:color w:val="auto"/>
          <w:sz w:val="24"/>
          <w:highlight w:val="none"/>
          <w:u w:val="single"/>
          <w:lang w:val="en-US" w:eastAsia="zh-CN"/>
        </w:rPr>
        <w:t xml:space="preserve">  / </w:t>
      </w:r>
      <w:r>
        <w:rPr>
          <w:rFonts w:hint="eastAsia" w:ascii="Times New Roman" w:hAnsi="Times New Roman"/>
          <w:bCs/>
          <w:color w:val="auto"/>
          <w:sz w:val="24"/>
          <w:highlight w:val="none"/>
          <w:lang w:val="en-US" w:eastAsia="zh-CN"/>
        </w:rPr>
        <w:t xml:space="preserve"> </w:t>
      </w:r>
      <w:r>
        <w:rPr>
          <w:rFonts w:hint="eastAsia" w:ascii="Times New Roman" w:hAnsi="Times New Roman"/>
          <w:bCs/>
          <w:color w:val="auto"/>
          <w:sz w:val="24"/>
          <w:highlight w:val="none"/>
          <w:lang w:val="zh-CN"/>
        </w:rPr>
        <w:t xml:space="preserve">：按采购合同总价的</w:t>
      </w:r>
      <w:r>
        <w:rPr>
          <w:rFonts w:hint="eastAsia" w:eastAsia="宋体" w:cs="Times New Roman"/>
          <w:bCs/>
          <w:caps w:val="0"/>
          <w:color w:val="auto"/>
          <w:sz w:val="24"/>
          <w:highlight w:val="none"/>
          <w:u w:val="single"/>
          <w:lang w:val="en-US" w:eastAsia="zh-CN"/>
        </w:rPr>
        <w:t xml:space="preserve">  /  </w:t>
      </w:r>
      <w:r>
        <w:rPr>
          <w:rFonts w:hint="eastAsia" w:ascii="Times New Roman" w:hAnsi="Times New Roman" w:eastAsia="宋体" w:cs="Times New Roman"/>
          <w:bCs/>
          <w:caps w:val="0"/>
          <w:color w:val="auto"/>
          <w:sz w:val="24"/>
          <w:highlight w:val="none"/>
          <w:lang w:val="zh-CN"/>
        </w:rPr>
        <w:t xml:space="preserve">%计取</w:t>
      </w:r>
      <w:r>
        <w:rPr>
          <w:rFonts w:hint="eastAsia" w:ascii="Times New Roman" w:hAnsi="Times New Roman"/>
          <w:bCs/>
          <w:color w:val="auto"/>
          <w:sz w:val="24"/>
          <w:highlight w:val="none"/>
          <w:lang w:val="zh-CN"/>
        </w:rPr>
        <w:t xml:space="preserve">。除银行电汇、网上银行、数字人民币外，供应商还可选用银行保函、担保公司的保证担保或保险公司的保证保险等多种形式向采购人缴纳；</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履约保证金退还的条件：按以下第 b 种方式实行：</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a、货物类项目，项目验收合格，出具验收报告及履约保证金收据申请退付；</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b、服务类项目，项目履约期满评价合格，出具履约评价报告及履约保证金收据申请退付；</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c、工程类项目，项目完工验收合格，出具完工证明及履约保证金收据申请退付；</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履约保证金退还时间：采购单位收到供应商退付申请后5个工作日内退还；</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pageBreakBefore w:val="0"/>
        <w:spacing w:line="560" w:lineRule="exact"/>
        <w:widowControl w:val="off"/>
        <w:rPr>
          <w:rFonts w:hint="eastAsia" w:ascii="Times New Roman" w:hAnsi="Times New Roman"/>
          <w:color w:val="auto"/>
          <w:sz w:val="24"/>
          <w:szCs w:val="24"/>
          <w:highlight w:val="none"/>
        </w:rPr>
      </w:pPr>
      <w:r>
        <w:rPr>
          <w:rFonts w:ascii="Times New Roman" w:hAnsi="Times New Roman"/>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pageBreakBefore w:val="0"/>
        <w:spacing w:line="560" w:lineRule="exact"/>
        <w:widowControl w:val="off"/>
        <w:rPr>
          <w:rFonts w:hint="eastAsia"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、标的物的追加</w:t>
      </w:r>
      <w:r/>
    </w:p>
    <w:p>
      <w:pPr>
        <w:ind w:firstLine="480"/>
        <w:pageBreakBefore w:val="0"/>
        <w:spacing w:line="5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pageBreakBefore w:val="0"/>
        <w:spacing w:line="560" w:lineRule="exact"/>
        <w:widowControl w:val="off"/>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3</w:t>
      </w:r>
      <w:r>
        <w:rPr>
          <w:rFonts w:hint="eastAsia" w:ascii="Times New Roman" w:hAnsi="Times New Roman" w:eastAsia="黑体"/>
          <w:bCs/>
          <w:color w:val="auto"/>
          <w:sz w:val="30"/>
          <w:szCs w:val="30"/>
          <w:highlight w:val="none"/>
        </w:rPr>
        <w:t xml:space="preserve">、政府采购履约资金扶持政策</w:t>
      </w:r>
      <w:r/>
    </w:p>
    <w:p>
      <w:pPr>
        <w:ind w:firstLine="420"/>
        <w:pageBreakBefore w:val="0"/>
        <w:spacing w:line="560" w:lineRule="exact"/>
        <w:widowControl w:val="off"/>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en-US" w:eastAsia="zh-CN"/>
        </w:rPr>
        <w:t xml:space="preserve">33.1</w:t>
      </w:r>
      <w:r>
        <w:rPr>
          <w:rFonts w:hint="eastAsia" w:ascii="Times New Roman" w:hAnsi="Times New Roman"/>
          <w:bCs/>
          <w:color w:val="auto"/>
          <w:sz w:val="24"/>
          <w:highlight w:val="none"/>
          <w:lang w:val="zh-CN"/>
        </w:rPr>
        <w:t xml:space="preserve">根据江苏省财政厅</w:t>
      </w:r>
      <w:r>
        <w:rPr>
          <w:rFonts w:hint="eastAsia" w:ascii="Times New Roman" w:hAnsi="Times New Roman"/>
          <w:bCs/>
          <w:color w:val="auto"/>
          <w:sz w:val="24"/>
          <w:highlight w:val="none"/>
          <w:lang w:val="en-US" w:eastAsia="zh-CN"/>
        </w:rPr>
        <w:t xml:space="preserve">、</w:t>
      </w:r>
      <w:r>
        <w:rPr>
          <w:rFonts w:hint="eastAsia" w:ascii="Times New Roman" w:hAnsi="Times New Roman"/>
          <w:bCs/>
          <w:color w:val="auto"/>
          <w:sz w:val="24"/>
          <w:highlight w:val="none"/>
          <w:lang w:val="zh-CN"/>
        </w:rPr>
        <w:t xml:space="preserve">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737"/>
        <w:ind w:firstLine="600"/>
        <w:pageBreakBefore w:val="0"/>
        <w:spacing w:before="0" w:after="0" w:line="560" w:lineRule="exact"/>
        <w:widowControl w:val="off"/>
        <w:rPr>
          <w:rFonts w:hint="eastAsia"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rPr>
        <w:t xml:space="preserve">3</w:t>
      </w:r>
      <w:r>
        <w:rPr>
          <w:rFonts w:ascii="Times New Roman" w:hAnsi="Times New Roman" w:cs="Times New Roman"/>
          <w:color w:val="auto"/>
          <w:sz w:val="30"/>
          <w:szCs w:val="30"/>
          <w:highlight w:val="none"/>
        </w:rPr>
        <w:t xml:space="preserve">4</w:t>
      </w:r>
      <w:r>
        <w:rPr>
          <w:rFonts w:hint="eastAsia" w:ascii="Times New Roman" w:hAnsi="Times New Roman" w:cs="Times New Roman"/>
          <w:color w:val="auto"/>
          <w:sz w:val="30"/>
          <w:szCs w:val="30"/>
          <w:highlight w:val="none"/>
        </w:rPr>
        <w:t xml:space="preserve">、验收及付款</w:t>
      </w:r>
      <w:r/>
    </w:p>
    <w:p>
      <w:pPr>
        <w:ind w:firstLine="482"/>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.2采购人可以邀请参加本项目的其他供应商或者第三方机构参与验收。参与验收的供应商或者第三方机构的意见作为验收书的参考资料一并存档。</w:t>
      </w:r>
      <w:r/>
    </w:p>
    <w:p>
      <w:pPr>
        <w:ind w:firstLine="482"/>
        <w:pageBreakBefore w:val="0"/>
        <w:spacing w:line="56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560" w:lineRule="exact"/>
        <w:widowControl w:val="off"/>
        <w:rPr>
          <w:rFonts w:hint="eastAsia" w:ascii="Times New Roman" w:hAnsi="Times New Roman" w:cs="宋体"/>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20" w:lineRule="exact"/>
        <w:rPr>
          <w:rFonts w:hint="eastAsia" w:ascii="宋体" w:hAnsi="宋体" w:cs="宋体"/>
          <w:b/>
          <w:sz w:val="24"/>
          <w:szCs w:val="24"/>
          <w:highlight w:val="none"/>
        </w:rPr>
      </w:pPr>
      <w:r>
        <w:rPr>
          <w:rFonts w:hint="eastAsia" w:ascii="宋体" w:hAnsi="宋体" w:cs="宋体"/>
          <w:b/>
          <w:sz w:val="24"/>
          <w:szCs w:val="24"/>
          <w:highlight w:val="none"/>
        </w:rPr>
        <w:t xml:space="preserve">35、付款</w:t>
      </w:r>
      <w:r/>
    </w:p>
    <w:p>
      <w:pPr>
        <w:ind w:firstLine="482"/>
        <w:spacing w:line="520" w:lineRule="exact"/>
        <w:rPr>
          <w:rFonts w:hint="eastAsia" w:ascii="宋体" w:hAnsi="宋体" w:cs="宋体"/>
          <w:bCs/>
          <w:sz w:val="24"/>
          <w:szCs w:val="24"/>
          <w:highlight w:val="none"/>
        </w:rPr>
      </w:pPr>
      <w:r>
        <w:rPr>
          <w:rFonts w:hint="eastAsia" w:ascii="宋体" w:hAnsi="宋体" w:cs="宋体"/>
          <w:bCs/>
          <w:sz w:val="24"/>
          <w:szCs w:val="24"/>
          <w:highlight w:val="none"/>
        </w:rPr>
        <w:t xml:space="preserve">按照以下</w:t>
      </w:r>
      <w:r>
        <w:rPr>
          <w:rFonts w:hint="eastAsia" w:ascii="宋体" w:hAnsi="宋体" w:cs="宋体"/>
          <w:bCs/>
          <w:sz w:val="24"/>
          <w:szCs w:val="24"/>
          <w:highlight w:val="none"/>
          <w:u w:val="single"/>
        </w:rPr>
        <w:t xml:space="preserve">2</w:t>
      </w:r>
      <w:r>
        <w:rPr>
          <w:rFonts w:hint="eastAsia" w:ascii="宋体" w:hAnsi="宋体" w:cs="宋体"/>
          <w:bCs/>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r/>
    </w:p>
    <w:p>
      <w:pPr>
        <w:ind w:firstLine="482"/>
        <w:spacing w:line="520" w:lineRule="exact"/>
        <w:rPr>
          <w:rFonts w:hint="eastAsia" w:ascii="宋体" w:hAnsi="宋体" w:cs="宋体"/>
          <w:bCs/>
          <w:sz w:val="24"/>
          <w:szCs w:val="24"/>
          <w:highlight w:val="none"/>
        </w:rPr>
      </w:pPr>
      <w:r>
        <w:rPr>
          <w:rFonts w:hint="eastAsia" w:ascii="宋体" w:hAnsi="宋体" w:cs="宋体"/>
          <w:bCs/>
          <w:sz w:val="24"/>
          <w:szCs w:val="24"/>
          <w:highlight w:val="none"/>
        </w:rPr>
        <w:t xml:space="preserve">（1）货物类项目</w:t>
      </w:r>
      <w:r/>
    </w:p>
    <w:p>
      <w:pPr>
        <w:ind w:firstLine="482"/>
        <w:spacing w:line="520" w:lineRule="exact"/>
        <w:rPr>
          <w:rFonts w:hint="eastAsia" w:ascii="宋体" w:hAnsi="宋体" w:cs="宋体"/>
          <w:bCs/>
          <w:sz w:val="24"/>
          <w:szCs w:val="24"/>
          <w:highlight w:val="none"/>
        </w:rPr>
      </w:pPr>
      <w:r>
        <w:rPr>
          <w:rFonts w:hint="eastAsia" w:ascii="宋体" w:hAnsi="宋体" w:cs="宋体"/>
          <w:bCs/>
          <w:sz w:val="24"/>
          <w:szCs w:val="24"/>
          <w:highlight w:val="none"/>
        </w:rPr>
        <w:t xml:space="preserve">预付款：合同金额的</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%，合同签订后按规定支付； </w:t>
      </w:r>
      <w:r/>
    </w:p>
    <w:p>
      <w:pPr>
        <w:ind w:firstLine="482"/>
        <w:spacing w:line="520" w:lineRule="exact"/>
        <w:rPr>
          <w:rFonts w:hint="eastAsia" w:ascii="宋体" w:hAnsi="宋体" w:cs="宋体"/>
          <w:bCs/>
          <w:sz w:val="24"/>
          <w:szCs w:val="24"/>
          <w:highlight w:val="none"/>
          <w:u w:val="single"/>
        </w:rPr>
      </w:pPr>
      <w:r>
        <w:rPr>
          <w:rFonts w:hint="eastAsia" w:ascii="宋体" w:hAnsi="宋体" w:cs="宋体"/>
          <w:bCs/>
          <w:sz w:val="24"/>
          <w:szCs w:val="24"/>
          <w:highlight w:val="none"/>
        </w:rPr>
        <w:t xml:space="preserve">进度款：</w:t>
      </w:r>
      <w:r>
        <w:rPr>
          <w:rFonts w:hint="eastAsia" w:ascii="宋体" w:hAnsi="宋体" w:cs="宋体"/>
          <w:bCs/>
          <w:sz w:val="24"/>
          <w:szCs w:val="24"/>
          <w:highlight w:val="none"/>
          <w:u w:val="single"/>
        </w:rPr>
        <w:t xml:space="preserve">  / 。</w:t>
      </w:r>
      <w:r/>
    </w:p>
    <w:p>
      <w:pPr>
        <w:ind w:firstLine="482"/>
        <w:spacing w:line="520" w:lineRule="exact"/>
        <w:rPr>
          <w:rFonts w:hint="eastAsia" w:ascii="宋体" w:hAnsi="宋体" w:cs="宋体"/>
          <w:bCs/>
          <w:sz w:val="24"/>
          <w:szCs w:val="24"/>
          <w:highlight w:val="none"/>
        </w:rPr>
      </w:pPr>
      <w:r>
        <w:rPr>
          <w:rFonts w:hint="eastAsia" w:ascii="宋体" w:hAnsi="宋体" w:cs="宋体"/>
          <w:bCs/>
          <w:sz w:val="24"/>
          <w:szCs w:val="24"/>
          <w:highlight w:val="none"/>
        </w:rPr>
        <w:t xml:space="preserve">（2）服务类项目</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预付款：合同金额的 20 %，合同签订后按规定支付；</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进度款：运维服务期满</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个月，支付</w:t>
      </w:r>
      <w:r>
        <w:rPr>
          <w:rFonts w:hint="eastAsia" w:ascii="宋体" w:hAnsi="宋体" w:cs="宋体"/>
          <w:bCs/>
          <w:sz w:val="24"/>
          <w:szCs w:val="24"/>
          <w:highlight w:val="none"/>
          <w:lang w:val="en-US" w:eastAsia="zh-CN"/>
        </w:rPr>
        <w:t xml:space="preserve">至</w:t>
      </w:r>
      <w:r>
        <w:rPr>
          <w:rFonts w:hint="eastAsia" w:ascii="宋体" w:hAnsi="宋体" w:cs="宋体"/>
          <w:bCs/>
          <w:sz w:val="24"/>
          <w:szCs w:val="24"/>
          <w:highlight w:val="none"/>
        </w:rPr>
        <w:t xml:space="preserve">合同价款的</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0%作为进度款；</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尾款：运维服务期满支付</w:t>
      </w:r>
      <w:r>
        <w:rPr>
          <w:rFonts w:hint="eastAsia" w:ascii="宋体" w:hAnsi="宋体" w:cs="宋体"/>
          <w:bCs/>
          <w:sz w:val="24"/>
          <w:szCs w:val="24"/>
          <w:highlight w:val="none"/>
          <w:lang w:val="en-US" w:eastAsia="zh-CN"/>
        </w:rPr>
        <w:t xml:space="preserve">对应的</w:t>
      </w:r>
      <w:r>
        <w:rPr>
          <w:rFonts w:hint="eastAsia" w:ascii="宋体" w:hAnsi="宋体" w:cs="宋体"/>
          <w:bCs/>
          <w:sz w:val="24"/>
          <w:szCs w:val="24"/>
          <w:highlight w:val="none"/>
        </w:rPr>
        <w:t xml:space="preserve">合同</w:t>
      </w:r>
      <w:r>
        <w:rPr>
          <w:rFonts w:hint="eastAsia" w:ascii="宋体" w:hAnsi="宋体" w:cs="宋体"/>
          <w:bCs/>
          <w:sz w:val="24"/>
          <w:szCs w:val="24"/>
          <w:highlight w:val="none"/>
          <w:lang w:val="en-US" w:eastAsia="zh-CN"/>
        </w:rPr>
        <w:t xml:space="preserve">余</w:t>
      </w:r>
      <w:r>
        <w:rPr>
          <w:rFonts w:hint="eastAsia" w:ascii="宋体" w:hAnsi="宋体" w:cs="宋体"/>
          <w:bCs/>
          <w:sz w:val="24"/>
          <w:szCs w:val="24"/>
          <w:highlight w:val="none"/>
        </w:rPr>
        <w:t xml:space="preserve">款，运维考核从余款中扣除。</w:t>
      </w:r>
      <w:r/>
    </w:p>
    <w:p>
      <w:pPr>
        <w:numPr>
          <w:ilvl w:val="0"/>
          <w:numId w:val="4"/>
        </w:numPr>
        <w:ind w:firstLine="482"/>
        <w:spacing w:line="520" w:lineRule="exact"/>
        <w:rPr>
          <w:rFonts w:hint="eastAsia" w:ascii="宋体" w:hAnsi="宋体" w:cs="宋体"/>
          <w:bCs/>
          <w:sz w:val="24"/>
          <w:szCs w:val="24"/>
          <w:highlight w:val="none"/>
        </w:rPr>
      </w:pPr>
      <w:r>
        <w:rPr>
          <w:rFonts w:hint="eastAsia" w:ascii="宋体" w:hAnsi="宋体" w:cs="宋体"/>
          <w:bCs/>
          <w:sz w:val="24"/>
          <w:szCs w:val="24"/>
          <w:highlight w:val="none"/>
        </w:rPr>
        <w:t xml:space="preserve">工程类项目</w:t>
      </w:r>
      <w:r/>
    </w:p>
    <w:p>
      <w:pPr>
        <w:ind w:firstLine="482"/>
        <w:spacing w:line="520" w:lineRule="exact"/>
        <w:rPr>
          <w:rFonts w:hint="eastAsia" w:ascii="宋体" w:hAnsi="宋体" w:cs="宋体"/>
          <w:sz w:val="24"/>
          <w:szCs w:val="24"/>
          <w:highlight w:val="none"/>
        </w:rPr>
      </w:pPr>
      <w:r>
        <w:rPr>
          <w:rFonts w:hint="eastAsia" w:ascii="宋体" w:hAnsi="宋体" w:cs="宋体"/>
          <w:bCs/>
          <w:sz w:val="24"/>
          <w:szCs w:val="24"/>
          <w:highlight w:val="none"/>
        </w:rPr>
        <w:t xml:space="preserve">预付款：合同金额的</w:t>
      </w:r>
      <w:r>
        <w:rPr>
          <w:rFonts w:hint="eastAsia" w:ascii="宋体" w:hAnsi="宋体" w:cs="宋体"/>
          <w:bCs/>
          <w:sz w:val="24"/>
          <w:szCs w:val="24"/>
          <w:highlight w:val="none"/>
          <w:u w:val="single"/>
        </w:rPr>
        <w:t xml:space="preserve">/</w:t>
      </w:r>
      <w:r>
        <w:rPr>
          <w:rFonts w:hint="eastAsia" w:ascii="宋体" w:hAnsi="宋体" w:cs="宋体"/>
          <w:bCs/>
          <w:sz w:val="24"/>
          <w:szCs w:val="24"/>
          <w:highlight w:val="none"/>
        </w:rPr>
        <w:t xml:space="preserve">%，合同签订后按规定支付；</w:t>
      </w:r>
      <w:r>
        <w:rPr>
          <w:rFonts w:hint="eastAsia" w:ascii="宋体" w:hAnsi="宋体" w:cs="宋体"/>
          <w:sz w:val="24"/>
          <w:szCs w:val="24"/>
          <w:highlight w:val="none"/>
        </w:rPr>
        <w:t xml:space="preserve"> </w:t>
      </w:r>
      <w:r/>
    </w:p>
    <w:p>
      <w:pPr>
        <w:ind w:firstLine="482"/>
        <w:spacing w:line="520" w:lineRule="exact"/>
        <w:rPr>
          <w:rFonts w:hint="eastAsia" w:ascii="宋体" w:hAnsi="宋体" w:cs="宋体"/>
          <w:bCs/>
          <w:sz w:val="24"/>
          <w:szCs w:val="24"/>
          <w:highlight w:val="none"/>
        </w:rPr>
      </w:pPr>
      <w:r>
        <w:rPr>
          <w:rFonts w:hint="eastAsia" w:ascii="宋体" w:hAnsi="宋体" w:cs="宋体"/>
          <w:bCs/>
          <w:sz w:val="24"/>
          <w:szCs w:val="24"/>
          <w:highlight w:val="none"/>
        </w:rPr>
        <w:t xml:space="preserve">进度款：</w:t>
      </w:r>
      <w:r>
        <w:rPr>
          <w:rFonts w:hint="eastAsia" w:ascii="宋体" w:hAnsi="宋体" w:cs="宋体"/>
          <w:bCs/>
          <w:sz w:val="24"/>
          <w:szCs w:val="24"/>
          <w:highlight w:val="none"/>
          <w:u w:val="single"/>
        </w:rPr>
        <w:t xml:space="preserve">/</w:t>
      </w:r>
      <w:r>
        <w:rPr>
          <w:rFonts w:hint="eastAsia" w:ascii="宋体" w:hAnsi="宋体" w:cs="宋体"/>
          <w:bCs/>
          <w:sz w:val="24"/>
          <w:szCs w:val="24"/>
          <w:highlight w:val="none"/>
        </w:rPr>
        <w:t xml:space="preserve">。</w:t>
      </w:r>
      <w:r/>
    </w:p>
    <w:p>
      <w:pPr>
        <w:ind w:firstLine="482"/>
        <w:spacing w:line="520" w:lineRule="exact"/>
        <w:rPr>
          <w:rFonts w:hint="eastAsia" w:ascii="宋体" w:hAnsi="宋体" w:eastAsia="宋体" w:cs="宋体"/>
          <w:bCs/>
          <w:strike/>
          <w:sz w:val="24"/>
          <w:szCs w:val="24"/>
          <w:highlight w:val="none"/>
          <w:lang w:eastAsia="zh-CN"/>
        </w:rPr>
      </w:pPr>
      <w:r>
        <w:rPr>
          <w:rFonts w:hint="eastAsia" w:ascii="宋体" w:hAnsi="宋体" w:cs="宋体"/>
          <w:bCs/>
          <w:sz w:val="24"/>
          <w:szCs w:val="24"/>
          <w:highlight w:val="none"/>
        </w:rPr>
        <w:t xml:space="preserve">注：在签订合同时，成交人明确表示无需预付款或者主动要求降低预付款比例的金额，</w:t>
      </w:r>
      <w:r>
        <w:rPr>
          <w:rFonts w:hint="eastAsia" w:ascii="宋体" w:hAnsi="宋体" w:cs="宋体"/>
          <w:bCs/>
          <w:strike w:val="0"/>
          <w:sz w:val="24"/>
          <w:szCs w:val="24"/>
          <w:highlight w:val="none"/>
        </w:rPr>
        <w:t xml:space="preserve">采购人可不适用预付款规定。水站详细情况见市控水质自动监测站点及市控水质自动监测站点设备清单的表1、2，后期站点数量如有变动的，根据成交价格相应比例支付(注：</w:t>
      </w:r>
      <w:r>
        <w:rPr>
          <w:rFonts w:hint="eastAsia" w:ascii="宋体" w:hAnsi="宋体" w:cs="宋体"/>
          <w:bCs/>
          <w:strike w:val="0"/>
          <w:sz w:val="24"/>
          <w:szCs w:val="24"/>
          <w:highlight w:val="none"/>
          <w:lang w:val="en-US" w:eastAsia="zh-CN"/>
        </w:rPr>
        <w:t xml:space="preserve">实际</w:t>
      </w:r>
      <w:r>
        <w:rPr>
          <w:rFonts w:hint="eastAsia" w:ascii="宋体" w:hAnsi="宋体" w:cs="宋体"/>
          <w:bCs/>
          <w:strike w:val="0"/>
          <w:sz w:val="24"/>
          <w:szCs w:val="24"/>
          <w:highlight w:val="none"/>
        </w:rPr>
        <w:t xml:space="preserve">运维费按照“实际运维天数*实际运维站点数量*日单价（合同总价/365/14）”计算</w:t>
      </w:r>
      <w:r>
        <w:rPr>
          <w:rFonts w:hint="eastAsia" w:ascii="宋体" w:hAnsi="宋体" w:cs="宋体"/>
          <w:bCs/>
          <w:strike w:val="0"/>
          <w:sz w:val="24"/>
          <w:szCs w:val="24"/>
          <w:highlight w:val="none"/>
          <w:lang w:eastAsia="zh-CN"/>
        </w:rPr>
        <w:t xml:space="preserve">）</w:t>
      </w:r>
      <w:bookmarkEnd w:id="1"/>
      <w:r/>
      <w:bookmarkEnd w:id="2"/>
      <w:r/>
      <w:bookmarkEnd w:id="3"/>
      <w:r/>
      <w:bookmarkEnd w:id="4"/>
      <w:r/>
      <w:bookmarkEnd w:id="5"/>
      <w:r/>
      <w:bookmarkEnd w:id="48"/>
      <w:r/>
      <w:bookmarkEnd w:id="50"/>
      <w:r/>
      <w:r/>
    </w:p>
    <w:p>
      <w:pPr>
        <w:jc w:val="center"/>
        <w:keepNext/>
        <w:rPr>
          <w:rFonts w:hint="eastAsia" w:ascii="宋体" w:hAnsi="宋体" w:cs="宋体"/>
          <w:b/>
          <w:bCs/>
          <w:sz w:val="44"/>
          <w:szCs w:val="44"/>
          <w:highlight w:val="none"/>
        </w:rPr>
        <w:outlineLvl w:val="0"/>
      </w:pPr>
      <w:r/>
      <w:bookmarkStart w:id="64" w:name="_Toc20823315"/>
      <w:r/>
      <w:bookmarkStart w:id="65" w:name="_Toc513029243"/>
      <w:r/>
      <w:bookmarkStart w:id="66" w:name="_Toc16938559"/>
      <w:r/>
      <w:r/>
    </w:p>
    <w:p>
      <w:pPr>
        <w:jc w:val="center"/>
        <w:keepNext/>
        <w:rPr>
          <w:rFonts w:hint="eastAsia" w:ascii="宋体" w:hAnsi="宋体" w:cs="宋体"/>
          <w:b/>
          <w:bCs/>
          <w:sz w:val="44"/>
          <w:szCs w:val="44"/>
          <w:highlight w:val="none"/>
        </w:rPr>
        <w:outlineLvl w:val="0"/>
      </w:pPr>
      <w:r>
        <w:rPr>
          <w:rFonts w:hint="eastAsia" w:ascii="宋体" w:hAnsi="宋体" w:cs="宋体"/>
          <w:b/>
          <w:bCs/>
          <w:sz w:val="44"/>
          <w:szCs w:val="44"/>
          <w:highlight w:val="none"/>
        </w:rPr>
      </w:r>
      <w:r/>
    </w:p>
    <w:p>
      <w:pPr>
        <w:jc w:val="center"/>
        <w:keepNext/>
        <w:rPr>
          <w:rFonts w:hint="eastAsia" w:ascii="宋体" w:hAnsi="宋体" w:cs="宋体"/>
          <w:b/>
          <w:bCs/>
          <w:sz w:val="44"/>
          <w:szCs w:val="44"/>
          <w:highlight w:val="none"/>
        </w:rPr>
        <w:outlineLvl w:val="0"/>
      </w:pPr>
      <w:r>
        <w:rPr>
          <w:rFonts w:hint="eastAsia" w:ascii="宋体" w:hAnsi="宋体" w:cs="宋体"/>
          <w:b/>
          <w:bCs/>
          <w:sz w:val="44"/>
          <w:szCs w:val="44"/>
          <w:highlight w:val="none"/>
        </w:rPr>
      </w:r>
      <w:r/>
    </w:p>
    <w:p>
      <w:pPr>
        <w:jc w:val="center"/>
        <w:keepNext/>
        <w:rPr>
          <w:rFonts w:hint="eastAsia" w:ascii="宋体" w:hAnsi="宋体" w:cs="宋体"/>
          <w:b/>
          <w:bCs/>
          <w:sz w:val="44"/>
          <w:szCs w:val="44"/>
          <w:highlight w:val="none"/>
        </w:rPr>
        <w:outlineLvl w:val="0"/>
      </w:pPr>
      <w:r>
        <w:rPr>
          <w:rFonts w:hint="eastAsia" w:ascii="宋体" w:hAnsi="宋体" w:cs="宋体"/>
          <w:b/>
          <w:bCs/>
          <w:sz w:val="44"/>
          <w:szCs w:val="44"/>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jc w:val="center"/>
        <w:keepNext/>
        <w:rPr>
          <w:rFonts w:hint="eastAsia" w:ascii="宋体" w:hAnsi="宋体" w:cs="宋体"/>
          <w:bCs/>
          <w:sz w:val="44"/>
          <w:szCs w:val="28"/>
          <w:highlight w:val="none"/>
        </w:rPr>
        <w:outlineLvl w:val="0"/>
      </w:pPr>
      <w:r>
        <w:rPr>
          <w:rFonts w:hint="eastAsia" w:ascii="宋体" w:hAnsi="宋体" w:cs="宋体"/>
          <w:b/>
          <w:bCs/>
          <w:sz w:val="44"/>
          <w:szCs w:val="44"/>
          <w:highlight w:val="none"/>
        </w:rPr>
        <w:t xml:space="preserve">第三章  合同文本</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以下为成交后签订本项目合同的通用条款，成交供应商不得提出实质性的修改。</w:t>
      </w:r>
      <w:r/>
    </w:p>
    <w:p>
      <w:pPr>
        <w:jc w:val="center"/>
        <w:spacing w:before="145" w:after="145"/>
        <w:rPr>
          <w:rFonts w:hint="eastAsia" w:ascii="宋体" w:hAnsi="宋体" w:cs="宋体"/>
          <w:b/>
          <w:sz w:val="30"/>
          <w:szCs w:val="21"/>
          <w:highlight w:val="none"/>
        </w:rPr>
      </w:pPr>
      <w:r>
        <w:rPr>
          <w:rFonts w:hint="eastAsia" w:ascii="宋体" w:hAnsi="宋体" w:cs="宋体"/>
          <w:b/>
          <w:sz w:val="30"/>
          <w:szCs w:val="21"/>
          <w:highlight w:val="none"/>
        </w:rPr>
      </w:r>
      <w:r/>
    </w:p>
    <w:p>
      <w:pPr>
        <w:pStyle w:val="110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采购单位（全称）： </w:t>
      </w:r>
      <w:r>
        <w:rPr>
          <w:rFonts w:hint="eastAsia" w:ascii="宋体" w:hAnsi="宋体" w:cs="宋体"/>
          <w:sz w:val="24"/>
          <w:szCs w:val="24"/>
          <w:highlight w:val="none"/>
          <w:u w:val="single"/>
        </w:rPr>
        <w:t xml:space="preserve"> 宿迁市生态环境监测监控服务中心</w:t>
      </w:r>
      <w:r>
        <w:rPr>
          <w:rFonts w:hint="eastAsia" w:ascii="宋体" w:hAnsi="宋体" w:cs="宋体"/>
          <w:sz w:val="24"/>
          <w:szCs w:val="24"/>
          <w:highlight w:val="none"/>
        </w:rPr>
        <w:t xml:space="preserve">（简称甲方）</w:t>
      </w:r>
      <w:r/>
    </w:p>
    <w:p>
      <w:pPr>
        <w:pStyle w:val="1105"/>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成交供应商（全称）：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（简称乙方）</w:t>
      </w:r>
      <w:r/>
    </w:p>
    <w:p>
      <w:pPr>
        <w:pStyle w:val="1106"/>
        <w:contextualSpacing/>
        <w:ind w:firstLine="480"/>
        <w:spacing w:line="500" w:lineRule="exact"/>
        <w:tabs>
          <w:tab w:val="left" w:pos="2280" w:leader="none"/>
        </w:tabs>
        <w:rPr>
          <w:rFonts w:hint="eastAsia" w:ascii="宋体" w:hAnsi="宋体" w:eastAsia="宋体" w:cs="宋体"/>
          <w:highlight w:val="none"/>
        </w:rPr>
      </w:pPr>
      <w:r>
        <w:rPr>
          <w:rFonts w:hint="eastAsia" w:ascii="宋体" w:hAnsi="宋体" w:eastAsia="宋体" w:cs="宋体"/>
          <w:highlight w:val="none"/>
        </w:rPr>
        <w:t xml:space="preserve">依照《中华人民共和国民法典》、《中华人民共和国政府采购法》及其他有关法律、行政法规，遵循平等、自愿、公平和诚实信用的原则，双方就项目编号为</w:t>
      </w:r>
      <w:r>
        <w:rPr>
          <w:rFonts w:hint="eastAsia" w:ascii="宋体" w:hAnsi="宋体" w:eastAsia="宋体" w:cs="宋体"/>
          <w:highlight w:val="none"/>
          <w:u w:val="single"/>
        </w:rPr>
        <w:t xml:space="preserve"> JSZC-321300-TYJT-C2026</w:t>
      </w:r>
      <w:r>
        <w:rPr>
          <w:rFonts w:hint="eastAsia" w:ascii="宋体" w:hAnsi="宋体" w:eastAsia="宋体" w:cs="宋体"/>
          <w:highlight w:val="none"/>
          <w:u w:val="single"/>
          <w:lang w:eastAsia="zh-CN"/>
        </w:rPr>
        <w:t xml:space="preserve">-0004</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rPr>
        <w:t xml:space="preserve"> 宿迁市市控水质自动监测站运行维护项目 </w:t>
      </w:r>
      <w:r>
        <w:rPr>
          <w:rFonts w:hint="eastAsia" w:ascii="宋体" w:hAnsi="宋体" w:eastAsia="宋体" w:cs="宋体"/>
          <w:highlight w:val="none"/>
        </w:rPr>
        <w:t xml:space="preserve">相关事项协商一致， 达成如下合同条款：</w:t>
      </w:r>
      <w:r/>
    </w:p>
    <w:p>
      <w:pPr>
        <w:pStyle w:val="1108"/>
        <w:ind w:firstLine="482"/>
        <w:spacing w:line="500" w:lineRule="exact"/>
        <w:rPr>
          <w:rFonts w:hint="eastAsia" w:ascii="宋体" w:hAnsi="宋体" w:eastAsia="宋体" w:cs="宋体"/>
          <w:b/>
          <w:bCs/>
          <w:highlight w:val="none"/>
          <w:lang w:eastAsia="zh-CN"/>
        </w:rPr>
      </w:pPr>
      <w:r>
        <w:rPr>
          <w:rFonts w:hint="eastAsia" w:ascii="宋体" w:hAnsi="宋体" w:eastAsia="宋体" w:cs="宋体"/>
          <w:b/>
          <w:bCs/>
          <w:highlight w:val="none"/>
        </w:rPr>
        <w:t xml:space="preserve">第一条 乙方向甲方提供总价值为:</w:t>
      </w:r>
      <w:r>
        <w:rPr>
          <w:rFonts w:hint="eastAsia" w:ascii="宋体" w:hAnsi="宋体" w:eastAsia="宋体" w:cs="宋体"/>
          <w:b/>
          <w:bCs/>
          <w:highlight w:val="none"/>
          <w:u w:val="single"/>
        </w:rPr>
        <w:t xml:space="preserve">      元整</w:t>
      </w:r>
      <w:r>
        <w:rPr>
          <w:rFonts w:hint="eastAsia" w:ascii="宋体" w:hAnsi="宋体" w:eastAsia="宋体" w:cs="宋体"/>
          <w:b/>
          <w:bCs/>
          <w:highlight w:val="none"/>
        </w:rPr>
        <w:t xml:space="preserve">（¥</w:t>
      </w:r>
      <w:r>
        <w:rPr>
          <w:rFonts w:hint="eastAsia" w:ascii="宋体" w:hAnsi="宋体" w:eastAsia="宋体" w:cs="宋体"/>
          <w:b/>
          <w:bCs/>
          <w:highlight w:val="none"/>
          <w:u w:val="single"/>
        </w:rPr>
        <w:t xml:space="preserve">    </w:t>
      </w:r>
      <w:r>
        <w:rPr>
          <w:rFonts w:hint="eastAsia" w:ascii="宋体" w:hAnsi="宋体" w:eastAsia="宋体" w:cs="宋体"/>
          <w:b/>
          <w:bCs/>
          <w:highlight w:val="none"/>
        </w:rPr>
        <w:t xml:space="preserve">元）的标的（服务）。</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本价格</w:t>
      </w:r>
      <w:r>
        <w:rPr>
          <w:rFonts w:hint="eastAsia" w:ascii="宋体" w:hAnsi="宋体" w:eastAsia="宋体" w:cs="宋体"/>
          <w:b/>
          <w:bCs/>
          <w:highlight w:val="none"/>
        </w:rPr>
        <w:t xml:space="preserve">为12个月的运维服务费，产生的运维费按实际合同履约期进行折算</w:t>
      </w:r>
      <w:r>
        <w:rPr>
          <w:rFonts w:hint="eastAsia" w:ascii="宋体" w:hAnsi="宋体" w:eastAsia="宋体" w:cs="宋体"/>
          <w:b/>
          <w:bCs/>
          <w:highlight w:val="none"/>
          <w:lang w:eastAsia="zh-CN"/>
        </w:rPr>
        <w:t xml:space="preserve">）</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第二条 服务内容及要求 </w:t>
      </w:r>
      <w:r/>
    </w:p>
    <w:p>
      <w:pPr>
        <w:pStyle w:val="1106"/>
        <w:contextualSpacing/>
        <w:ind w:firstLine="482"/>
        <w:spacing w:line="500" w:lineRule="exact"/>
        <w:tabs>
          <w:tab w:val="left" w:pos="2280" w:leader="none"/>
        </w:tabs>
        <w:rPr>
          <w:rFonts w:hint="eastAsia" w:ascii="宋体" w:hAnsi="宋体" w:eastAsia="宋体" w:cs="宋体"/>
          <w:b/>
          <w:bCs/>
          <w:highlight w:val="none"/>
        </w:rPr>
      </w:pPr>
      <w:r>
        <w:rPr>
          <w:rFonts w:hint="eastAsia" w:ascii="宋体" w:hAnsi="宋体" w:eastAsia="宋体" w:cs="宋体"/>
          <w:b/>
          <w:bCs/>
          <w:highlight w:val="none"/>
        </w:rPr>
        <w:t xml:space="preserve">1.工作内容：</w:t>
      </w:r>
      <w:r/>
    </w:p>
    <w:p>
      <w:pPr>
        <w:ind w:firstLine="480"/>
        <w:spacing w:line="500" w:lineRule="exact"/>
        <w:rPr>
          <w:rFonts w:hint="eastAsia" w:ascii="宋体" w:hAnsi="宋体" w:cs="宋体"/>
          <w:bCs/>
          <w:sz w:val="24"/>
          <w:szCs w:val="21"/>
          <w:highlight w:val="none"/>
          <w:lang w:val="zh-CN"/>
        </w:rPr>
      </w:pPr>
      <w:r>
        <w:rPr>
          <w:rFonts w:hint="eastAsia" w:ascii="宋体" w:hAnsi="宋体" w:cs="宋体"/>
          <w:bCs/>
          <w:sz w:val="24"/>
          <w:szCs w:val="21"/>
          <w:highlight w:val="none"/>
          <w:lang w:val="zh-CN"/>
        </w:rPr>
        <w:t xml:space="preserve">14座市控水质自动监测站、自动监控中心站以及国省考断面视频监控的运维服务。</w:t>
      </w:r>
      <w:r/>
    </w:p>
    <w:p>
      <w:pPr>
        <w:pStyle w:val="1108"/>
        <w:jc w:val="center"/>
        <w:spacing w:line="27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08"/>
        <w:jc w:val="center"/>
        <w:spacing w:line="27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表1：14个市控水质自动监测站点统计表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1276"/>
        <w:gridCol w:w="3685"/>
        <w:gridCol w:w="1276"/>
      </w:tblGrid>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站点名称</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所在河流</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监测指标</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所在县区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钟洼大桥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西民便河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泗洪县</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顺河桥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老汴河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泗洪县</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朱圩大桥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西沙河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宿城区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245省道</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西民便河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宿城区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古黄河桥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古黄河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洋河新区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周力桥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古山河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宿城区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朱岭电排站</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新沂河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五参数、高锰酸盐指数、氨氮、总磷、总氮、挥发酚</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宿豫区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金沙江路</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六塘河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宿豫区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庄圩大桥西偏泓</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淮沭河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泗阳县</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皂河黄河新桥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古黄河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11</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戴场（浮船站）</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骆马湖</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12</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中运河月堤应急备用水源地取水口</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京杭运河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五参数、氨氮、总磷、总氮、高锰酸盐指数、挥发酚、挥发性有机物、铅、镉、锌、砷</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13</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中运河月堤应急备用水源地上游</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京杭运河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五参数、氨氮、总磷、总氮、高锰酸盐指数</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r>
        <w:trPr>
          <w:jc w:val="center"/>
          <w:trHeight w:val="987"/>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14</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骆马湖水源地</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取水口</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骆马湖</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挥发酚、挥发性有机物、生物毒性、藻密度</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bl>
    <w:p>
      <w:pPr>
        <w:pStyle w:val="1082"/>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808"/>
        <w:ind w:firstLine="421"/>
        <w:jc w:val="center"/>
        <w:spacing w:line="360" w:lineRule="auto"/>
        <w:rPr>
          <w:rFonts w:hint="eastAsia" w:ascii="宋体" w:hAnsi="宋体" w:eastAsia="宋体" w:cs="宋体"/>
          <w:bCs/>
          <w:sz w:val="28"/>
          <w:szCs w:val="28"/>
          <w:highlight w:val="none"/>
        </w:rPr>
      </w:pPr>
      <w:r>
        <w:rPr>
          <w:rFonts w:hint="eastAsia" w:ascii="宋体" w:hAnsi="宋体" w:eastAsia="宋体" w:cs="宋体"/>
          <w:szCs w:val="32"/>
          <w:highlight w:val="none"/>
        </w:rPr>
        <w:t xml:space="preserve">表2：14个市控水质自动监测站点设备清单</w:t>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0"/>
        <w:gridCol w:w="3451"/>
        <w:gridCol w:w="2025"/>
        <w:gridCol w:w="1059"/>
      </w:tblGrid>
      <w:tr>
        <w:trPr>
          <w:jc w:val="center"/>
          <w:trHeight w:val="50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设备型号</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设备品牌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数量（台）</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五参数水质分析仪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SC1000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哈希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12</w:t>
            </w:r>
            <w:r/>
          </w:p>
        </w:tc>
      </w:tr>
      <w:tr>
        <w:trPr>
          <w:jc w:val="center"/>
          <w:trHeight w:val="440"/>
        </w:trPr>
        <w:tc>
          <w:tcPr>
            <w:tcBorders>
              <w:top w:val="single" w:color="000000" w:sz="4" w:space="0"/>
              <w:left w:val="single" w:color="000000" w:sz="4" w:space="0"/>
              <w:bottom w:val="none" w:color="000000" w:sz="4" w:space="0"/>
              <w:right w:val="single" w:color="000000" w:sz="4" w:space="0"/>
            </w:tcBorders>
            <w:tcW w:w="2410" w:type="dxa"/>
            <w:vAlign w:val="center"/>
            <w:vMerge w:val="restart"/>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高锰酸盐指数水质分析仪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COD-203A</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哈希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12</w:t>
            </w:r>
            <w:r/>
          </w:p>
        </w:tc>
      </w:tr>
      <w:tr>
        <w:trPr>
          <w:jc w:val="center"/>
          <w:trHeight w:val="440"/>
        </w:trPr>
        <w:tc>
          <w:tcPr>
            <w:tcBorders>
              <w:top w:val="single" w:color="000000" w:sz="4" w:space="0"/>
              <w:left w:val="single" w:color="000000" w:sz="4" w:space="0"/>
              <w:bottom w:val="none" w:color="000000" w:sz="4" w:space="0"/>
              <w:right w:val="single" w:color="000000" w:sz="4" w:space="0"/>
            </w:tcBorders>
            <w:tcW w:w="2410" w:type="dxa"/>
            <w:vAlign w:val="center"/>
            <w:vMerge w:val="continue"/>
            <w:textDirection w:val="lrTb"/>
            <w:noWrap w:val="false"/>
          </w:tcPr>
          <w:p>
            <w:pPr>
              <w:pStyle w:val="1082"/>
              <w:jc w:val="center"/>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Carbo:lyser</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奥地利是能</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氨氮水质分析仪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DWG-8002A</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雷磁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10</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082"/>
              <w:jc w:val="center"/>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Amtax-NA8000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哈希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总磷总氮水质分析仪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NPW-160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哈希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氨氮总磷水质分析仪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Wiz  probe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意大利希思迪</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总氮水质分析仪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Wiz  probe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意大利希思迪</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铅、锌水质分析仪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SAFIA200-Pb、Zn</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淼通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砷、镉水质分析仪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SAFIA200-As、Cd</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淼通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right w:val="single" w:color="000000" w:sz="4" w:space="0"/>
            </w:tcBorders>
            <w:tcW w:w="2410" w:type="dxa"/>
            <w:vAlign w:val="center"/>
            <w:vMerge w:val="restart"/>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挥发酚水质分析仪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SPA100cc-VP</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淼通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left w:val="single" w:color="000000" w:sz="4" w:space="0"/>
              <w:right w:val="single" w:color="000000" w:sz="4" w:space="0"/>
            </w:tcBorders>
            <w:tcW w:w="2410" w:type="dxa"/>
            <w:vAlign w:val="center"/>
            <w:vMerge w:val="continue"/>
            <w:textDirection w:val="lrTb"/>
            <w:noWrap w:val="false"/>
          </w:tcPr>
          <w:p>
            <w:pPr>
              <w:pStyle w:val="1082"/>
              <w:jc w:val="center"/>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PowerMon NG 131+M311-01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布朗卢比</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left w:val="single" w:color="000000" w:sz="4" w:space="0"/>
              <w:bottom w:val="single" w:color="000000" w:sz="4" w:space="0"/>
              <w:right w:val="single" w:color="000000" w:sz="4" w:space="0"/>
            </w:tcBorders>
            <w:tcW w:w="2410" w:type="dxa"/>
            <w:vAlign w:val="center"/>
            <w:vMerge w:val="continue"/>
            <w:textDirection w:val="lrTb"/>
            <w:noWrap w:val="false"/>
          </w:tcPr>
          <w:p>
            <w:pPr>
              <w:pStyle w:val="1082"/>
              <w:jc w:val="center"/>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LFS-2002(Phe)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力合科技</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挥发性有机物水质分析仪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CMS5000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INFICON</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在线藻类人工智能分析仪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CASA-OLA</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中科水质</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生物毒性</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LFTOX-Z2010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力合科技</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SLD</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HACH/OTT</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5</w:t>
            </w:r>
            <w:r/>
          </w:p>
        </w:tc>
      </w:tr>
    </w:tbl>
    <w:p>
      <w:pPr>
        <w:pStyle w:val="1106"/>
        <w:contextualSpacing/>
        <w:ind w:firstLine="482"/>
        <w:spacing w:line="500" w:lineRule="exact"/>
        <w:tabs>
          <w:tab w:val="left" w:pos="2280" w:leader="none"/>
        </w:tabs>
        <w:rPr>
          <w:rFonts w:hint="eastAsia" w:ascii="宋体" w:hAnsi="宋体" w:eastAsia="宋体" w:cs="宋体"/>
          <w:b/>
          <w:bCs/>
          <w:highlight w:val="none"/>
        </w:rPr>
      </w:pPr>
      <w:r>
        <w:rPr>
          <w:rFonts w:hint="eastAsia" w:ascii="宋体" w:hAnsi="宋体" w:eastAsia="宋体" w:cs="宋体"/>
          <w:b/>
          <w:bCs/>
          <w:highlight w:val="none"/>
        </w:rPr>
        <w:t xml:space="preserve">2.运维工作要求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2.1整体要求：</w:t>
      </w:r>
      <w:r/>
    </w:p>
    <w:p>
      <w:pPr>
        <w:pStyle w:val="808"/>
        <w:ind w:firstLine="480"/>
        <w:spacing w:line="500" w:lineRule="exact"/>
        <w:rPr>
          <w:rFonts w:hint="eastAsia" w:ascii="宋体" w:hAnsi="宋体" w:eastAsia="宋体" w:cs="宋体"/>
          <w:b w:val="0"/>
          <w:sz w:val="24"/>
          <w:highlight w:val="none"/>
        </w:rPr>
      </w:pPr>
      <w:r>
        <w:rPr>
          <w:rFonts w:hint="eastAsia" w:ascii="宋体" w:hAnsi="宋体" w:eastAsia="宋体" w:cs="宋体"/>
          <w:b w:val="0"/>
          <w:sz w:val="24"/>
          <w:highlight w:val="none"/>
        </w:rPr>
        <w:t xml:space="preserve">（1）运维公司必须按照《环境水质（地表水）自动监测站运行维护技术规范》（DB32/T 4536-2023）进行维护。</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（2）乙方提供完整的市控水质自动监测站运行维护实施方案和运维应急预案，明确维护方法、周期、内容及技术保障等。</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乙方应列明14座市控水质自动监测站、自动监控中心站以及国省考断面视频监控网络运行维护期间各项费用预算开支（包括站房维护、仪器试剂、故障维修零配件、易损耗材、运维人员费用、车辆交通、废液处置等；站点运行期间的电费、水费、防雷检测及光纤网络通讯费用；国省考断面视频监控网络通讯费用和故障维修费用）。</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在市控水质自动监测站运行维护期间，乙方应严格按照甲方提出的操作规范，对所管理的系统及仪器设备进行规范操作和精心维护及必要维修，保证系统及仪器设备的正常运行，达到甲方提出的系统及仪器设备考核指标要求。乙方必须接受甲方定期或不定期检查和考核。</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（5）不论何时，乙方都应承担监测数据的保密责任；乙方按照甲方的要求，进行报告和传输有关的监测数据，均不得以任何方式和渠道向外界传递任何监测数据。</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（6）不论何时，乙方无权将甲方的任何资产进行对外投资、合作、经济担保及资产抵押。</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2.2对乙方装备的要求：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运维人员必须配备专用工具，包括便携式电脑、万用表、远程数据查询系统等，同时还须配备通讯调试工具。</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2.3对乙方提供服务的要求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（1）乙方必须根据本部分要求作出相应应答，明确维护方法、周期、内容及技术保障等。</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（2）《环境水质（地表水）自动监测站运行维护技术规范》（DB32/T 4536-2023）及其实施细则要求。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2.4水质自动监测站运行维护要求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市控水质自动监测站要严格按照“日监控，周巡检，月比对”的要求，开展日常维护和质控工作。通过每日监控、每周巡查，确保仪器设备和系统处于正常的运行状况。配备专人负责数据汇总统计，每日发送水质自动监测情况日报。</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（1）岸边站水质自动站运行维护内容及要求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（a）每周工作内容</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17"/>
        <w:gridCol w:w="2125"/>
        <w:gridCol w:w="4675"/>
      </w:tblGrid>
      <w:tr>
        <w:trPr>
          <w:jc w:val="center"/>
        </w:trPr>
        <w:tc>
          <w:tcPr>
            <w:tcW w:w="818"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417"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维护内容</w:t>
            </w:r>
            <w:r/>
          </w:p>
        </w:tc>
        <w:tc>
          <w:tcPr>
            <w:tcW w:w="2125"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维护周期及目标</w:t>
            </w:r>
            <w:r/>
          </w:p>
        </w:tc>
        <w:tc>
          <w:tcPr>
            <w:tcW w:w="4675"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维护要求</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通讯检查</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1次/周，确保控制和数据上传通道畅通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确保工控机各个串口和PLC、数采仪、分析仪器连接一一对应正确且牢固</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通过现场监控软件测试工控与PLC及各个仪器之间是否连接正确</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VPN网络设备检查，保证通讯畅通</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视频监控设备检查，监控视角位置</w:t>
            </w:r>
            <w:r/>
          </w:p>
        </w:tc>
      </w:tr>
      <w:tr>
        <w:trPr>
          <w:jc w:val="center"/>
          <w:trHeight w:val="460"/>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面板开关检查</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1次/周，确保各开关功能正常</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检查控制柜前面板开关和指示灯确保其工作正常</w:t>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配电板清扫</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清扫配电板上各个元件上的灰尘等</w:t>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配电板状态检查</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检查确保配电板上各个接线接头不松动，并清除锈蚀接头。确保各个接触器和继电器工作正常</w:t>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接地检查</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确保各个机柜和用电器接地良好，尤其注意防雷保护器接地</w:t>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温湿度仪检查</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检查温湿度仪是否显示合理，保证温度探头反应灵敏</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稳压电源清扫</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断电情况下清扫稳压电源内的灰尘</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检查碳刷是否正常，磨损较多情况必须更换</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上电测试，确保稳压源工作正常</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UPS检查清扫</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断电情况下清扫UPS各个散热孔上的灰尘</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检查确保UPS充放电正常</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UPS电池箱清扫</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做好绝缘措施情况下清扫UPS电池箱内的灰尘</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确保箱内各个电池联线接触良好牢固</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确保各个电池无漏液，外观正常</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机柜台面清扫及检查</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检查机柜台面及玻璃是否清洁</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检查机柜各门是否关于完好</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11</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实验区清扫</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1次/周，确保室内整齐清洁</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1）保持实验区台面清洁</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2）保持仪器设备摆放</w:t>
            </w:r>
            <w:r>
              <w:rPr>
                <w:rFonts w:hint="eastAsia" w:ascii="宋体" w:hAnsi="宋体" w:cs="宋体"/>
                <w:sz w:val="24"/>
                <w:szCs w:val="24"/>
                <w:highlight w:val="none"/>
                <w:lang w:val="en-US" w:eastAsia="zh-CN"/>
              </w:rPr>
              <w:t xml:space="preserve">整齐</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3）按要求存储试剂</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4）按要求处置废液</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12</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高锰酸盐指数分析仪维护</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1次/周，确保监测仪器所需试剂充足，管路、阀门处于正常状态，仪器电极无沾污，运行稳定，比对数据合格</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1）检查数据传输和报警模块是否正常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2）确保冷却水供应正常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3）清除水浴锅内水垢，疏通管道</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4）确保各个阀门正常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5）检查并更换老化的输送硫酸软管</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6）添加参比电极电解液</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7）清除ORP电极上污垢</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8）检查并更换老化的ORP电极</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13</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氨氮分析仪维护</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1）检查氨氮分析仪加热模块是否正常，是否维持在40℃</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2）检查气敏膜，添加电解液</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3）检查并更换老化的氨氮管路系统</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4）检查并更换老化的氨氮蠕动泵管</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5）检查并更换老化的加热迂回管路</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6）检查并更换老化的电极</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7）修正液位压力传感器参数</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14</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总磷总氮分析仪维护</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1）检查数据传输和报警模块是否正常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2）更换试剂</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3）确保冷却水供应正常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4）清除水浴锅内水垢，疏通管道</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5）检查并更换老化的UV灯</w:t>
            </w:r>
            <w:r/>
          </w:p>
        </w:tc>
      </w:tr>
      <w:tr>
        <w:trPr>
          <w:jc w:val="center"/>
          <w:trHeight w:val="362"/>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6）确保各个阀门正常</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15</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五参数分析仪</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1次/周，确保监测仪器电极无沾污，运行稳定，比对数据合格</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1）检查数据传输和报警模块是否正常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2）检查电极是否被泥沙和藻类沾污</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3）清洗电极更换电极液</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4）检查并更换老化的电极</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5）确保清洗水供应正常</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16</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流量计</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1）检查流量计运行是否正常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2）采取必要的清洗保障措施</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3）对仪器安装支架及桩基的牢固性、腐蚀等情况的检查</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4）及时检查更换老化配件</w:t>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17</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挥发酚分析仪</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vMerge w:val="restart"/>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1）检查仪器运行是否正常</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2）及时检查更换试剂、氩气</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3）采取必要的清洗保障措施</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4）及时检查更换老化配件</w:t>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18</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挥发性有机物分析仪</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vMerge w:val="continue"/>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19</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生物毒性分析仪</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vMerge w:val="continue"/>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20</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铅、镉、锌、砷分析仪</w:t>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vMerge w:val="continue"/>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818"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21</w:t>
            </w:r>
            <w:r/>
          </w:p>
        </w:tc>
        <w:tc>
          <w:tcPr>
            <w:tcW w:w="14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藻类人工智能分析仪</w:t>
            </w:r>
            <w:r/>
          </w:p>
        </w:tc>
        <w:tc>
          <w:tcPr>
            <w:tcW w:w="2125"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1）检查仪器运行是否正常</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2）检查管路、泵阀状态；</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3）及时检查更换老化配件</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4）更换样品测试池（玻片）</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22</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质控模块</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1）检查质控模块是否正常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2）采取必要的清洗保障措施</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3）及时检查更换老化配件</w:t>
            </w:r>
            <w:r/>
          </w:p>
        </w:tc>
      </w:tr>
      <w:tr>
        <w:trPr>
          <w:jc w:val="center"/>
        </w:trPr>
        <w:tc>
          <w:tcPr>
            <w:tcW w:w="81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23</w:t>
            </w:r>
            <w:r/>
          </w:p>
        </w:tc>
        <w:tc>
          <w:tcPr>
            <w:tcW w:w="14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留样单元</w:t>
            </w:r>
            <w:r/>
          </w:p>
        </w:tc>
        <w:tc>
          <w:tcPr>
            <w:tcW w:w="2125"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1)检查留样单元是否正常</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2）检查留样瓶是否清洁</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3）及时留样</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4）及时清洗、更换留样瓶</w:t>
            </w:r>
            <w:r/>
          </w:p>
        </w:tc>
      </w:tr>
      <w:tr>
        <w:trPr>
          <w:jc w:val="center"/>
        </w:trPr>
        <w:tc>
          <w:tcPr>
            <w:tcW w:w="81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5"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5）及时检查更换老化配件</w:t>
            </w:r>
            <w:r/>
          </w:p>
        </w:tc>
      </w:tr>
    </w:tbl>
    <w:p>
      <w:pPr>
        <w:pStyle w:val="1100"/>
        <w:ind w:firstLine="480"/>
        <w:spacing w:after="200" w:line="400" w:lineRule="exact"/>
        <w:rPr>
          <w:rFonts w:hint="eastAsia" w:ascii="宋体" w:hAnsi="宋体" w:cs="宋体"/>
          <w:sz w:val="24"/>
          <w:szCs w:val="24"/>
          <w:highlight w:val="none"/>
        </w:rPr>
      </w:pPr>
      <w:r>
        <w:rPr>
          <w:rFonts w:hint="eastAsia" w:ascii="宋体" w:hAnsi="宋体" w:cs="宋体"/>
          <w:sz w:val="24"/>
          <w:szCs w:val="24"/>
          <w:highlight w:val="none"/>
        </w:rPr>
        <w:t xml:space="preserve">（b）每月工作内容</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18"/>
        <w:gridCol w:w="2126"/>
        <w:gridCol w:w="4699"/>
      </w:tblGrid>
      <w:tr>
        <w:trPr>
          <w:jc w:val="center"/>
          <w:trHeight w:val="535"/>
        </w:trPr>
        <w:tc>
          <w:tcPr>
            <w:tcW w:w="724" w:type="dxa"/>
            <w:vAlign w:val="center"/>
            <w:textDirection w:val="lrTb"/>
            <w:noWrap w:val="false"/>
          </w:tcPr>
          <w:p>
            <w:pPr>
              <w:pStyle w:val="808"/>
              <w:jc w:val="center"/>
              <w:spacing w:line="36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p>
        </w:tc>
        <w:tc>
          <w:tcPr>
            <w:tcW w:w="1418" w:type="dxa"/>
            <w:vAlign w:val="center"/>
            <w:textDirection w:val="lrTb"/>
            <w:noWrap w:val="false"/>
          </w:tcPr>
          <w:p>
            <w:pPr>
              <w:pStyle w:val="808"/>
              <w:jc w:val="center"/>
              <w:spacing w:line="36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维护内容</w:t>
            </w:r>
            <w:r/>
          </w:p>
        </w:tc>
        <w:tc>
          <w:tcPr>
            <w:tcW w:w="2126" w:type="dxa"/>
            <w:vAlign w:val="center"/>
            <w:textDirection w:val="lrTb"/>
            <w:noWrap w:val="false"/>
          </w:tcPr>
          <w:p>
            <w:pPr>
              <w:pStyle w:val="808"/>
              <w:jc w:val="center"/>
              <w:spacing w:line="36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维护周期及目标</w:t>
            </w:r>
            <w:r/>
          </w:p>
        </w:tc>
        <w:tc>
          <w:tcPr>
            <w:tcW w:w="4699" w:type="dxa"/>
            <w:vAlign w:val="center"/>
            <w:textDirection w:val="lrTb"/>
            <w:noWrap w:val="false"/>
          </w:tcPr>
          <w:p>
            <w:pPr>
              <w:pStyle w:val="808"/>
              <w:jc w:val="center"/>
              <w:spacing w:line="36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维护要求</w:t>
            </w:r>
            <w:r/>
          </w:p>
        </w:tc>
      </w:tr>
      <w:tr>
        <w:trPr>
          <w:jc w:val="center"/>
          <w:trHeight w:val="285"/>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418"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室外取水管路清洗清淤</w:t>
            </w:r>
            <w:r/>
          </w:p>
        </w:tc>
        <w:tc>
          <w:tcPr>
            <w:tcW w:w="2126"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1次/月，确保管路无泥沙附着</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将室外取水管路淤泥吹出。至少三次空气吹洗，以便达到良好清淤效果。</w:t>
            </w:r>
            <w:r/>
          </w:p>
        </w:tc>
      </w:tr>
      <w:tr>
        <w:trPr>
          <w:jc w:val="center"/>
          <w:trHeight w:val="6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采用3%稀盐酸，对取水管路进行清洗。清洗完毕后15分钟手动运行一次采水流程，以便将管路中残余药剂清洗掉。</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恢复取水管路原状。</w:t>
            </w:r>
            <w:r/>
          </w:p>
        </w:tc>
      </w:tr>
      <w:tr>
        <w:trPr>
          <w:jc w:val="center"/>
          <w:trHeight w:val="285"/>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418"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室内管路清洗</w:t>
            </w:r>
            <w:r/>
          </w:p>
        </w:tc>
        <w:tc>
          <w:tcPr>
            <w:tcW w:w="2126"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2次/月，确保管路透明，无泥沙藻类附着</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手动拆卸阀门、弯头、过滤网和样水杯等部件，用试管刷清洗，清洗后原样装回。</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检查蠕动泵进水塑胶软管脏污情况，必要的情况更换。</w:t>
            </w:r>
            <w:r/>
          </w:p>
        </w:tc>
      </w:tr>
      <w:tr>
        <w:trPr>
          <w:jc w:val="center"/>
          <w:trHeight w:val="315"/>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418"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清洗液位计</w:t>
            </w:r>
            <w:r/>
          </w:p>
        </w:tc>
        <w:tc>
          <w:tcPr>
            <w:tcW w:w="2126"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1次/月，确保液位计工作正常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将液位计拆下，用3%盐酸擦洗浮球和导杆，清除表面钙化物和污物。</w:t>
            </w:r>
            <w:r/>
          </w:p>
        </w:tc>
      </w:tr>
      <w:tr>
        <w:trPr>
          <w:jc w:val="center"/>
          <w:trHeight w:val="315"/>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测量浮球导通电阻，导通电阻必须小于20欧姆，且反应灵敏。</w:t>
            </w:r>
            <w:r/>
          </w:p>
        </w:tc>
      </w:tr>
      <w:tr>
        <w:trPr>
          <w:jc w:val="center"/>
          <w:trHeight w:val="285"/>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原样装回液位计。</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必要的情况更换新液位计。</w:t>
            </w:r>
            <w:r/>
          </w:p>
        </w:tc>
      </w:tr>
      <w:tr>
        <w:trPr>
          <w:jc w:val="center"/>
          <w:trHeight w:val="600"/>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418"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清洗样水杯喷头</w:t>
            </w:r>
            <w:r/>
          </w:p>
        </w:tc>
        <w:tc>
          <w:tcPr>
            <w:tcW w:w="2126"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1次/月，确保喷头工作正常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将样水杯清洗喷头拆下，检查是否有锈蚀状况，轻微锈蚀可采用3%稀盐酸浸泡方法清除锈蚀，严重锈蚀状况直接换新。</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将喷头原样装回后注意调节喷头配水强度。</w:t>
            </w:r>
            <w:r/>
          </w:p>
        </w:tc>
      </w:tr>
      <w:tr>
        <w:trPr>
          <w:jc w:val="center"/>
          <w:trHeight w:val="300"/>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418"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取水系统综合测试</w:t>
            </w:r>
            <w:r/>
          </w:p>
        </w:tc>
        <w:tc>
          <w:tcPr>
            <w:tcW w:w="2126" w:type="dxa"/>
            <w:vAlign w:val="center"/>
            <w:vMerge w:val="restart"/>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1次/1月，确保系统取水正常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完成上述测试后复原所有阀门到正确位置。</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检查各个接头是否松动，各个电动球阀接线是否完好。</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检查无误情况下，系统复电，检查整个取水流程是否正常。</w:t>
            </w:r>
            <w:r/>
          </w:p>
        </w:tc>
      </w:tr>
      <w:tr>
        <w:trPr>
          <w:jc w:val="center"/>
          <w:trHeight w:val="300"/>
        </w:trPr>
        <w:tc>
          <w:tcPr>
            <w:tcW w:w="724"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418" w:type="dxa"/>
            <w:vAlign w:val="center"/>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高锰酸盐指数、挥发酚、铅、镉、锌、砷分析仪</w:t>
            </w:r>
            <w:r/>
          </w:p>
        </w:tc>
        <w:tc>
          <w:tcPr>
            <w:tcW w:w="2126" w:type="dxa"/>
            <w:vAlign w:val="center"/>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2次/月，更换试剂并校正，确保数据正常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更换标准校对液和分析试剂，一般不超过15天，夏天视情况缩短更换周期。更换试剂时要将前一批的试剂全部更换干净，而不是补充试剂。</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试剂更换完毕须校正仪器，确保校正数据符合仪器要求。</w:t>
            </w:r>
            <w:r/>
          </w:p>
        </w:tc>
      </w:tr>
      <w:tr>
        <w:trPr>
          <w:jc w:val="center"/>
          <w:trHeight w:val="307"/>
        </w:trPr>
        <w:tc>
          <w:tcPr>
            <w:tcW w:w="724"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氨氮、总磷、总氮、挥发性有机物、生物毒性分析仪</w:t>
            </w:r>
            <w:r/>
          </w:p>
        </w:tc>
        <w:tc>
          <w:tcPr>
            <w:tcW w:w="2126" w:type="dxa"/>
            <w:vAlign w:val="center"/>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1次/月，更换试剂并校正，确保数据正常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更换标准校对液和分析试剂，一般不超过30天，夏天视情况缩短更换周期。更换试剂时要将前一批的试剂全部更换干净，而不是补充试剂。挥发性有机物分析仪还需及时查看更换氩气装置。</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试剂更换完毕须校正仪器，确保校正数据符合仪器要求。</w:t>
            </w:r>
            <w:r/>
          </w:p>
        </w:tc>
      </w:tr>
      <w:tr>
        <w:trPr>
          <w:jc w:val="center"/>
          <w:trHeight w:val="1980"/>
        </w:trPr>
        <w:tc>
          <w:tcPr>
            <w:tcW w:w="724"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418" w:type="dxa"/>
            <w:vAlign w:val="center"/>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藻类人工智能分析仪</w:t>
            </w:r>
            <w:r/>
          </w:p>
        </w:tc>
        <w:tc>
          <w:tcPr>
            <w:tcW w:w="2126" w:type="dxa"/>
            <w:vAlign w:val="center"/>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w:t>
            </w:r>
            <w:r>
              <w:rPr>
                <w:rFonts w:hint="eastAsia" w:ascii="宋体" w:hAnsi="宋体" w:cs="宋体"/>
                <w:highlight w:val="none"/>
              </w:rPr>
              <w:t xml:space="preserve">确保数据正常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清更换三个膜片管，并清理使用过的膜片。</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清洁罐体组件的上下罐体内外的沉淀物。</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清洁冲脱仓内的沉淀物。</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洗进样管路。</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检查主机硬盘内存容量，及时清理和备份。</w:t>
            </w:r>
            <w:r/>
          </w:p>
        </w:tc>
      </w:tr>
      <w:tr>
        <w:trPr>
          <w:jc w:val="center"/>
          <w:trHeight w:val="961"/>
        </w:trPr>
        <w:tc>
          <w:tcPr>
            <w:tcW w:w="724"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418" w:type="dxa"/>
            <w:vAlign w:val="center"/>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五参数分析仪</w:t>
            </w:r>
            <w:r/>
          </w:p>
        </w:tc>
        <w:tc>
          <w:tcPr>
            <w:tcW w:w="2126" w:type="dxa"/>
            <w:vAlign w:val="center"/>
            <w:textDirection w:val="lrTb"/>
            <w:noWrap w:val="false"/>
          </w:tcPr>
          <w:p>
            <w:pPr>
              <w:pStyle w:val="110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1次/月，校正pH和溶解氧电极，确保数据正常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校正pH和溶解氧电极，确保校正数据符合仪器要求。</w:t>
            </w:r>
            <w:r/>
          </w:p>
        </w:tc>
      </w:tr>
    </w:tbl>
    <w:p>
      <w:pPr>
        <w:pStyle w:val="1100"/>
        <w:ind w:firstLine="480"/>
        <w:spacing w:after="200" w:line="400" w:lineRule="exact"/>
        <w:rPr>
          <w:rFonts w:hint="eastAsia" w:ascii="宋体" w:hAnsi="宋体" w:cs="宋体"/>
          <w:sz w:val="24"/>
          <w:szCs w:val="24"/>
          <w:highlight w:val="none"/>
        </w:rPr>
      </w:pPr>
      <w:r>
        <w:rPr>
          <w:rFonts w:hint="eastAsia" w:ascii="宋体" w:hAnsi="宋体" w:cs="宋体"/>
          <w:sz w:val="24"/>
          <w:szCs w:val="24"/>
          <w:highlight w:val="none"/>
        </w:rPr>
        <w:t xml:space="preserve">（c）每2月一次</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372"/>
        <w:gridCol w:w="2126"/>
        <w:gridCol w:w="4697"/>
      </w:tblGrid>
      <w:tr>
        <w:trPr>
          <w:jc w:val="center"/>
        </w:trPr>
        <w:tc>
          <w:tcPr>
            <w:tcW w:w="770"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372"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维护内容</w:t>
            </w:r>
            <w:r/>
          </w:p>
        </w:tc>
        <w:tc>
          <w:tcPr>
            <w:tcW w:w="2126"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维护周期及目标</w:t>
            </w:r>
            <w:r/>
          </w:p>
        </w:tc>
        <w:tc>
          <w:tcPr>
            <w:tcW w:w="4697"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维护要求</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372"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室内管路清洗</w:t>
            </w:r>
            <w:r/>
          </w:p>
        </w:tc>
        <w:tc>
          <w:tcPr>
            <w:tcW w:w="2126"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2次/月，确保管路透明，无泥沙藻类附着</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手动拆卸阀门、弯头、过滤网和样水杯等部件，用试管刷清洗，清洗后原样装回。</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检查蠕动泵进水塑胶软管脏污情况，必要的情况更换。</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372"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电动球阀清洗检查</w:t>
            </w:r>
            <w:r/>
          </w:p>
        </w:tc>
        <w:tc>
          <w:tcPr>
            <w:tcW w:w="2126"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1次/2月，确保清洗后电动球阀吸合自如，无堵塞和渗漏</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将电动球阀手动拆下，用试管刷清洗后，将电动球阀装回管路。</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开启组态单阀测试程序，单独控制阀门开关，检查阀门开关时间是否符合要求（10s以内）。</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必要的情况替换电动球阀。</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372"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单向阀清洗</w:t>
            </w:r>
            <w:r/>
          </w:p>
        </w:tc>
        <w:tc>
          <w:tcPr>
            <w:tcW w:w="2126"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1次/2月，确保清洗后电动球阀吸合自如，无堵塞和渗漏</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拆下单向阀，用试管刷清洗单向阀阀体及密封橡胶上附着的脏污物，检查密封性是否完好后，原样装回管路。</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必要情况更换单向阀。</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372"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压力表测试</w:t>
            </w:r>
            <w:r/>
          </w:p>
        </w:tc>
        <w:tc>
          <w:tcPr>
            <w:tcW w:w="2126"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1次/2月，确保清洗后压力表读数正常</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拆下压力表表头，清洗清除压力导管内泥沙。</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压缩空气吹脱表头内残留脏污。</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调节空压机输出压力为0.6Mpa，输出气管连接到待测压力表，检查待测压力表显示是否和空压机一致，反应是否灵敏。</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原样装回压力表，注意气密性。</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必要情况更换压力表。</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372"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工控机检查</w:t>
            </w:r>
            <w:r/>
          </w:p>
        </w:tc>
        <w:tc>
          <w:tcPr>
            <w:tcW w:w="2126"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1次/2月</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检查开机过程中硬件自检过程是否有异常数据传输和报警。</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强制切断电源后复电工控机是否可以自动启动，并运行windos系统、加载现场监控软件，串口连接是否正常。</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插入备份光盘，用ghost软件备份操作系统。将备份好的操作系统和分区D内的文件拷贝到备份移动硬盘上。</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断电后拆下工控机，打开后盖，用细毛刷清</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除电源和主板上的灰尘，尤其注意cpu板、内存和各个串口卡上的灰尘清除。检查各个功能卡接口是否连接牢固。</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检查硬盘SATA连接线是否松动。</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定期对杀毒软件升级，专机专用，禁止从事与工作无关的活动</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6"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装回工控机重复1）、2）步骤</w:t>
            </w:r>
            <w:r/>
          </w:p>
        </w:tc>
      </w:tr>
    </w:tbl>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（2）浮标站水质自动站运行维护内容及要求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（a）提供、配制并定期更换浮标站仪表所需试剂；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（b）提供并定期更换浮标站系统和仪表所需备品备件（包括各类配件）；</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（c）对浮标站系统和仪表进行定期检修、保养，每月一次；</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（d）及时排除浮标站系统和仪表出现的故障（由于地震、洪水和雷击等不可预防和不可抗拒因素造成的自动站系统及仪器损坏除外）；</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（e）对浮标站仪表进行定期校准、核查、比对、性能测试；</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（f）配合甲方进行水站质量保证和质量质控工作；</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（g）随时接受甲方的工作考核及质量考核；</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（h）保证站点设施清洁，整齐。</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2.5站房及基础保障运维要求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（1）保证供电线路正常，对各种外部原因造成供电线路故障的，及时进行修复；</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（2）保证采水系统正常运行，对因各种外部原因造成无法采水或采水不正常的，</w:t>
      </w:r>
      <w:r/>
    </w:p>
    <w:p>
      <w:pPr>
        <w:pStyle w:val="110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及时进行维修和整改；确保采水口5米半径内无水草、垃圾等影响水质监测数据的杂</w:t>
      </w:r>
      <w:r/>
    </w:p>
    <w:p>
      <w:pPr>
        <w:pStyle w:val="110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物；</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（3）保证视频监控系统正常运行（包括：水站视频监控、国省考断面视频监控），维护视频监控系统，出现故障及时修复；</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（4）保证站房基础设施完整，站房、平台楼梯、护栏、标识牌、道路等各种基础设施有破损的，及时进行修复；定期开展站房及周边环境卫生整治，确保干净整洁；</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（5）保证防雷、消防等设施正常运行，做好防雷、消防设施检测，确保检测报告在有效期范围内。</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（6）运行维护及管理期间，不得对环境产生污染，乙方要依法规范收集、贮存、处置所有废液，相关责任由乙方承担，费用由乙方负责。</w:t>
      </w:r>
      <w:r/>
    </w:p>
    <w:p>
      <w:pPr>
        <w:pStyle w:val="1100"/>
        <w:ind w:firstLine="420"/>
        <w:spacing w:line="500" w:lineRule="exact"/>
        <w:rPr>
          <w:rFonts w:ascii="宋体" w:hAnsi="宋体" w:cs="宋体"/>
          <w:sz w:val="24"/>
          <w:szCs w:val="24"/>
          <w:highlight w:val="none"/>
        </w:rPr>
      </w:pPr>
      <w:r>
        <w:rPr>
          <w:rFonts w:hint="eastAsia" w:ascii="宋体" w:hAnsi="宋体" w:cs="宋体"/>
          <w:sz w:val="24"/>
          <w:szCs w:val="24"/>
          <w:highlight w:val="none"/>
        </w:rPr>
        <w:t xml:space="preserve">2.6网络要求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乙方按照要求提供网络：合计14个站点（13个站点为有线网络，1个站点为无线网络）有线网络采用下行100M上行20M；无线网络选用4G或5G物联网卡（每个站点每月不得少于20G流量）。所选网络严格按照国家网络安全要求标准，不得出现网络安全事件，要有网络安全处置措施以及应急预案，如后期根据网络安全标准更改为专线，乙方应无条件按照甲方标准进行整改。</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本项目要根据国家有关法律法规要求开展等级保护，并完成等级保护测评和备案登记。负责系统的网络安全的运维和管理工作，及时开展系统升级、补丁更新等防护工作，定期开展系统安全巡检和加固，及时处置安全漏洞和隐患，保障系统的网络安全。所产生的费用包含在本次项目报价内，甲方不另外支付服务费用。</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2.7运维考核要求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磋商文件中未明确的质控管理要求，按照国家或江苏省已制定的相关规范性文件执行，若出台新的管理办法或技术规范时，按新要求执行。</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（1）水质自动站运行指标要求：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五参数、氨氮、高锰酸盐指数、总磷、总氮、挥发酚、挥发性有机物、生物毒性、藻类人工智能分析仪、铅、镉、锌、砷等分析仪器总体月数据有效率≥95％（除去停水停电，恶劣天气无法入湖、性能测试及其他不可抗拒因素引起的故障）。数据有效率的计算方法参照《江苏省地表水自动监测站运行管理办法（试行）》（苏环办〔2020〕174号）中有关规定执行。</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（2）数据质量要求：</w:t>
      </w:r>
      <w:r/>
    </w:p>
    <w:p>
      <w:pPr>
        <w:pStyle w:val="808"/>
        <w:ind w:firstLine="480"/>
        <w:spacing w:line="500" w:lineRule="exact"/>
        <w:rPr>
          <w:rFonts w:hint="eastAsia" w:ascii="宋体" w:hAnsi="宋体" w:eastAsia="宋体" w:cs="宋体"/>
          <w:b w:val="0"/>
          <w:sz w:val="24"/>
          <w:highlight w:val="none"/>
        </w:rPr>
      </w:pPr>
      <w:r>
        <w:rPr>
          <w:rFonts w:hint="eastAsia" w:ascii="宋体" w:hAnsi="宋体" w:eastAsia="宋体" w:cs="宋体"/>
          <w:b w:val="0"/>
          <w:sz w:val="24"/>
          <w:highlight w:val="none"/>
        </w:rPr>
        <w:t xml:space="preserve">要求乙方参照《江苏省地表水自动监测站运行管理办法（试行）》（苏环办〔2020〕174号）和《地表水水质自动监测站运行维护技术要求（试行）》要求，定期开展标液核查、质控考核、水样比对、加标回收和系统审核工作，并将结果报甲方。</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（3）数据数量要求：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乙方应保证在运行维护期间，确保年度监测数据捕捉率≥90%，数据误差符合检测项目性能指标要求。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采用连续测定情况下，高锰酸盐指数水质在线自动监测仪、总磷水质自动分析仪、氨氮水质自动分析仪、总氮自动分析仪等至少每天保证有6组有效数据（1-10序号水站，4小时/次）、2组（11序号水站，12小时/次）或12组有效数据（12-14序号水站，2小时/次）。</w:t>
      </w:r>
      <w:r/>
    </w:p>
    <w:p>
      <w:pPr>
        <w:pStyle w:val="1110"/>
        <w:ind w:firstLine="480"/>
        <w:spacing w:line="500" w:lineRule="exact"/>
        <w:rPr>
          <w:rFonts w:hint="eastAsia" w:ascii="宋体" w:hAnsi="宋体" w:eastAsia="宋体" w:cs="宋体"/>
          <w:b w:val="0"/>
          <w:sz w:val="24"/>
          <w:highlight w:val="none"/>
        </w:rPr>
      </w:pPr>
      <w:r>
        <w:rPr>
          <w:rFonts w:hint="eastAsia" w:ascii="宋体" w:hAnsi="宋体" w:eastAsia="宋体" w:cs="宋体"/>
          <w:b w:val="0"/>
          <w:sz w:val="24"/>
          <w:highlight w:val="none"/>
        </w:rPr>
        <w:t xml:space="preserve">（4）月度考核具体内容：</w:t>
      </w:r>
      <w:r/>
    </w:p>
    <w:p>
      <w:pPr>
        <w:pStyle w:val="1110"/>
        <w:ind w:firstLine="480"/>
        <w:spacing w:line="500" w:lineRule="exact"/>
        <w:rPr>
          <w:rFonts w:hint="eastAsia" w:ascii="宋体" w:hAnsi="宋体" w:eastAsia="宋体" w:cs="宋体"/>
          <w:b w:val="0"/>
          <w:sz w:val="24"/>
          <w:highlight w:val="none"/>
        </w:rPr>
      </w:pPr>
      <w:r>
        <w:rPr>
          <w:rFonts w:hint="eastAsia" w:ascii="宋体" w:hAnsi="宋体" w:eastAsia="宋体" w:cs="宋体"/>
          <w:b w:val="0"/>
          <w:sz w:val="24"/>
          <w:highlight w:val="none"/>
        </w:rPr>
        <w:t xml:space="preserve">考核从运行与日常维护、检修、年度维护、质量控制、有效数据量、记录完整性等几个方面进行判定，由甲方根据工作需要进行抽查，考核方法详见下表：</w:t>
      </w:r>
      <w:r/>
    </w:p>
    <w:p>
      <w:pPr>
        <w:pStyle w:val="808"/>
        <w:jc w:val="center"/>
        <w:spacing w:before="361" w:after="181"/>
        <w:rPr>
          <w:rFonts w:hint="eastAsia" w:ascii="宋体" w:hAnsi="宋体" w:eastAsia="宋体" w:cs="宋体"/>
          <w:szCs w:val="32"/>
          <w:highlight w:val="none"/>
        </w:rPr>
      </w:pPr>
      <w:r>
        <w:rPr>
          <w:rStyle w:val="1111"/>
          <w:rFonts w:hint="eastAsia" w:ascii="宋体" w:hAnsi="宋体" w:eastAsia="宋体" w:cs="宋体"/>
          <w:color w:val="auto"/>
          <w:sz w:val="32"/>
          <w:szCs w:val="32"/>
          <w:highlight w:val="none"/>
        </w:rPr>
        <w:t xml:space="preserve">表1 宿迁市市控水质自动监测站月度运维情况考核表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2023"/>
        <w:gridCol w:w="2551"/>
        <w:gridCol w:w="1559"/>
        <w:gridCol w:w="1763"/>
      </w:tblGrid>
      <w:tr>
        <w:trPr>
          <w:jc w:val="center"/>
          <w:trHeight w:val="593"/>
        </w:trPr>
        <w:tc>
          <w:tcPr>
            <w:gridSpan w:val="2"/>
            <w:tcW w:w="3187" w:type="dxa"/>
            <w:vAlign w:val="center"/>
            <w:textDirection w:val="lrTb"/>
            <w:noWrap w:val="false"/>
          </w:tcPr>
          <w:p>
            <w:pPr>
              <w:pStyle w:val="808"/>
              <w:ind w:left="900"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考核内容</w:t>
            </w:r>
            <w:r/>
          </w:p>
        </w:tc>
        <w:tc>
          <w:tcPr>
            <w:tcW w:w="2551" w:type="dxa"/>
            <w:vAlign w:val="center"/>
            <w:textDirection w:val="lrTb"/>
            <w:noWrap w:val="false"/>
          </w:tcPr>
          <w:p>
            <w:pPr>
              <w:pStyle w:val="808"/>
              <w:ind w:left="900"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考核要求</w:t>
            </w:r>
            <w:r/>
          </w:p>
        </w:tc>
        <w:tc>
          <w:tcPr>
            <w:tcW w:w="1559" w:type="dxa"/>
            <w:vAlign w:val="center"/>
            <w:textDirection w:val="lrTb"/>
            <w:noWrap w:val="false"/>
          </w:tcPr>
          <w:p>
            <w:pPr>
              <w:pStyle w:val="808"/>
              <w:ind w:firstLine="80"/>
              <w:jc w:val="center"/>
              <w:widowControl w:val="off"/>
              <w:rPr>
                <w:rFonts w:hint="eastAsia" w:ascii="宋体" w:hAnsi="宋体" w:eastAsia="宋体" w:cs="宋体"/>
                <w:b w:val="0"/>
                <w:bCs/>
                <w:spacing w:val="-10"/>
                <w:sz w:val="24"/>
                <w:szCs w:val="22"/>
                <w:highlight w:val="none"/>
              </w:rPr>
            </w:pPr>
            <w:r>
              <w:rPr>
                <w:rFonts w:hint="eastAsia" w:ascii="宋体" w:hAnsi="宋体" w:eastAsia="宋体" w:cs="宋体"/>
                <w:b w:val="0"/>
                <w:bCs/>
                <w:spacing w:val="-10"/>
                <w:sz w:val="24"/>
                <w:szCs w:val="22"/>
                <w:highlight w:val="none"/>
              </w:rPr>
              <w:t xml:space="preserve">不符合要求一次</w:t>
            </w:r>
            <w:r>
              <w:rPr>
                <w:rFonts w:hint="eastAsia" w:ascii="宋体" w:hAnsi="宋体" w:eastAsia="宋体" w:cs="宋体"/>
                <w:b w:val="0"/>
                <w:bCs/>
                <w:spacing w:val="-10"/>
                <w:sz w:val="24"/>
                <w:szCs w:val="22"/>
                <w:highlight w:val="none"/>
                <w:lang w:val="en-US" w:eastAsia="zh-CN"/>
              </w:rPr>
              <w:t xml:space="preserve">扣款</w:t>
            </w:r>
            <w:r>
              <w:rPr>
                <w:rFonts w:hint="eastAsia" w:ascii="宋体" w:hAnsi="宋体" w:eastAsia="宋体" w:cs="宋体"/>
                <w:b w:val="0"/>
                <w:bCs/>
                <w:spacing w:val="-10"/>
                <w:sz w:val="24"/>
                <w:szCs w:val="22"/>
                <w:highlight w:val="none"/>
              </w:rPr>
              <w:t xml:space="preserve">金额（元）</w:t>
            </w:r>
            <w:r/>
          </w:p>
        </w:tc>
        <w:tc>
          <w:tcPr>
            <w:tcW w:w="1763" w:type="dxa"/>
            <w:vAlign w:val="center"/>
            <w:textDirection w:val="lrTb"/>
            <w:noWrap w:val="false"/>
          </w:tcPr>
          <w:p>
            <w:pPr>
              <w:pStyle w:val="808"/>
              <w:jc w:val="center"/>
              <w:widowControl w:val="off"/>
              <w:rPr>
                <w:rFonts w:hint="eastAsia" w:ascii="宋体" w:hAnsi="宋体" w:eastAsia="宋体" w:cs="宋体"/>
                <w:b w:val="0"/>
                <w:bCs/>
                <w:spacing w:val="-10"/>
                <w:sz w:val="24"/>
                <w:szCs w:val="22"/>
                <w:highlight w:val="none"/>
              </w:rPr>
            </w:pPr>
            <w:r>
              <w:rPr>
                <w:rFonts w:hint="eastAsia" w:ascii="宋体" w:hAnsi="宋体" w:eastAsia="宋体" w:cs="宋体"/>
                <w:b w:val="0"/>
                <w:bCs/>
                <w:spacing w:val="-10"/>
                <w:sz w:val="24"/>
                <w:szCs w:val="22"/>
                <w:highlight w:val="none"/>
              </w:rPr>
              <w:t xml:space="preserve">不符合要求造成数据异常或缺失</w:t>
            </w:r>
            <w:r>
              <w:rPr>
                <w:rFonts w:hint="eastAsia" w:ascii="宋体" w:hAnsi="宋体" w:eastAsia="宋体" w:cs="宋体"/>
                <w:b w:val="0"/>
                <w:bCs/>
                <w:spacing w:val="-10"/>
                <w:sz w:val="24"/>
                <w:szCs w:val="22"/>
                <w:highlight w:val="none"/>
                <w:lang w:val="en-US" w:eastAsia="zh-CN"/>
              </w:rPr>
              <w:t xml:space="preserve">扣款</w:t>
            </w:r>
            <w:r>
              <w:rPr>
                <w:rFonts w:hint="eastAsia" w:ascii="宋体" w:hAnsi="宋体" w:eastAsia="宋体" w:cs="宋体"/>
                <w:b w:val="0"/>
                <w:bCs/>
                <w:spacing w:val="-10"/>
                <w:sz w:val="24"/>
                <w:szCs w:val="22"/>
                <w:highlight w:val="none"/>
              </w:rPr>
              <w:t xml:space="preserve">金额（元）</w:t>
            </w:r>
            <w:r/>
          </w:p>
        </w:tc>
      </w:tr>
      <w:tr>
        <w:trPr>
          <w:jc w:val="center"/>
          <w:trHeight w:val="968"/>
        </w:trPr>
        <w:tc>
          <w:tcPr>
            <w:tcW w:w="1164" w:type="dxa"/>
            <w:vAlign w:val="center"/>
            <w:vMerge w:val="restart"/>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日常运行与维护</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见磋商文件“水质自动监测站运行维护要求”</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按“水质自动监测站运行维护要求”要求完成各项运行维护工作</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200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400</w:t>
            </w:r>
            <w:r/>
          </w:p>
        </w:tc>
      </w:tr>
      <w:tr>
        <w:trPr>
          <w:jc w:val="center"/>
          <w:trHeight w:val="968"/>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更换仪器所需备品备件</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备品备件必须为原厂提供</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原厂备品备件价格</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原厂备品备件双倍价格</w:t>
            </w:r>
            <w:r/>
          </w:p>
        </w:tc>
      </w:tr>
      <w:tr>
        <w:trPr>
          <w:jc w:val="center"/>
          <w:trHeight w:val="1140"/>
        </w:trPr>
        <w:tc>
          <w:tcPr>
            <w:tcW w:w="1164"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站房及基础保障运维</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见磋商文件“站房及基础保障运维要求”</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按“站房及基础保障运维要求”要求完成各项运行维护工作</w:t>
            </w:r>
            <w:r/>
          </w:p>
        </w:tc>
        <w:tc>
          <w:tcPr>
            <w:tcW w:w="1559" w:type="dxa"/>
            <w:vAlign w:val="center"/>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500</w:t>
            </w:r>
            <w:r/>
          </w:p>
        </w:tc>
        <w:tc>
          <w:tcPr>
            <w:tcW w:w="1763" w:type="dxa"/>
            <w:vAlign w:val="center"/>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1000</w:t>
            </w:r>
            <w:r/>
          </w:p>
        </w:tc>
      </w:tr>
      <w:tr>
        <w:trPr>
          <w:jc w:val="center"/>
          <w:trHeight w:val="1060"/>
        </w:trPr>
        <w:tc>
          <w:tcPr>
            <w:tcW w:w="1164"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自动监控中心站运维</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见磋商文件“自动监控中心站运维要求”</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按“自动监控中心站运维要求”要求完成各项运行维护工作</w:t>
            </w:r>
            <w:r/>
          </w:p>
        </w:tc>
        <w:tc>
          <w:tcPr>
            <w:tcW w:w="1559" w:type="dxa"/>
            <w:vAlign w:val="center"/>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500</w:t>
            </w:r>
            <w:r/>
          </w:p>
        </w:tc>
        <w:tc>
          <w:tcPr>
            <w:tcW w:w="1763" w:type="dxa"/>
            <w:vAlign w:val="center"/>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1000</w:t>
            </w:r>
            <w:r/>
          </w:p>
        </w:tc>
      </w:tr>
      <w:tr>
        <w:trPr>
          <w:jc w:val="center"/>
          <w:trHeight w:val="1143"/>
        </w:trPr>
        <w:tc>
          <w:tcPr>
            <w:tcW w:w="1164" w:type="dxa"/>
            <w:vAlign w:val="center"/>
            <w:vMerge w:val="restart"/>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质量控制</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质控样试验</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不定期进行质控样试验，测定的相对误差不大于标准值的±10％</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139"/>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实际水样比对实验</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pacing w:val="-10"/>
                <w:sz w:val="24"/>
                <w:szCs w:val="22"/>
                <w:highlight w:val="none"/>
              </w:rPr>
              <w:t xml:space="preserve">不定期进行实际水样比对实验，测定的相对误差在±20%范围以内</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765"/>
        </w:trPr>
        <w:tc>
          <w:tcPr>
            <w:tcW w:w="1164"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有效数据量</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月有效数据累计捕捉率</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≥95％</w:t>
            </w:r>
            <w:r/>
          </w:p>
        </w:tc>
        <w:tc>
          <w:tcPr>
            <w:tcW w:w="1559" w:type="dxa"/>
            <w:vAlign w:val="center"/>
            <w:textDirection w:val="lrTb"/>
            <w:noWrap w:val="false"/>
          </w:tcPr>
          <w:p>
            <w:pPr>
              <w:pStyle w:val="808"/>
              <w:ind w:left="-103"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1000+a(90-捕捉率×100)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284"/>
        </w:trPr>
        <w:tc>
          <w:tcPr>
            <w:tcW w:w="1164" w:type="dxa"/>
            <w:vAlign w:val="center"/>
            <w:vMerge w:val="restart"/>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巡检记录</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记录清晰、完整</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219"/>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维修记录</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记录清晰、完整</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139"/>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年度维护记录</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记录清晰、完整</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139"/>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质控考核记录</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记录清晰、完整</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bl>
    <w:p>
      <w:pPr>
        <w:pStyle w:val="1100"/>
        <w:ind w:firstLine="4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备注：当有效率70％至95％时a值为100元。当捕捉率小于70％时a值为300元。</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（5）一旦发现虚假数据，甲方有权终止合同，并按需支付费用的双倍进行经济</w:t>
      </w:r>
      <w:r>
        <w:rPr>
          <w:rFonts w:hint="eastAsia" w:ascii="宋体" w:hAnsi="宋体" w:cs="宋体"/>
          <w:sz w:val="24"/>
          <w:szCs w:val="24"/>
          <w:highlight w:val="none"/>
          <w:lang w:val="en-US" w:eastAsia="zh-CN"/>
        </w:rPr>
        <w:t xml:space="preserve">扣款</w:t>
      </w:r>
      <w:r>
        <w:rPr>
          <w:rFonts w:hint="eastAsia" w:ascii="宋体" w:hAnsi="宋体" w:cs="宋体"/>
          <w:sz w:val="24"/>
          <w:szCs w:val="24"/>
          <w:highlight w:val="none"/>
        </w:rPr>
        <w:t xml:space="preserve">。如果乙方运维人员或队伍发生重大变更，无法按质开展运维工作，或者发生重大责任事故的，甲方有权提前取消运营合同。</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（6）乙方承诺在合同签订后两周内建立备件库提供备机，并建立实验室或者与第三方实验室签订合同；一旦发现在承诺期结束后未建立的，甲方有权终止合同，并按需支付费用的双倍进行经济</w:t>
      </w:r>
      <w:r>
        <w:rPr>
          <w:rFonts w:hint="eastAsia" w:ascii="宋体" w:hAnsi="宋体" w:cs="宋体"/>
          <w:sz w:val="24"/>
          <w:szCs w:val="24"/>
          <w:highlight w:val="none"/>
          <w:lang w:val="en-US" w:eastAsia="zh-CN"/>
        </w:rPr>
        <w:t xml:space="preserve">扣款</w:t>
      </w:r>
      <w:r>
        <w:rPr>
          <w:rFonts w:hint="eastAsia" w:ascii="宋体" w:hAnsi="宋体" w:cs="宋体"/>
          <w:sz w:val="24"/>
          <w:szCs w:val="24"/>
          <w:highlight w:val="none"/>
        </w:rPr>
        <w:t xml:space="preserve">。</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2.8应急措施要求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（1）突发污染事故要求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当水站监测数据发现异常或发现所在断面发生污染事故时，须2小时内报告甲方，并保证系统仪器正常运行，监测数据准确，传输畅通，并协助托管站进行手工监测。</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（2）系统仪器故障</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当系统仪器出现故障（包括停运）时，保证在2小时内到达现场检修，如24小时内无法排除故障，导致水站主要监测指标无法连续监测时，须通过更换备机（从故障时算起48小时内完成）或委托有资质的检测机构进行检测以确保数据的完整性，实验室检测数据不少于每周两组（不得为同一天监测），所需费用由乙方负责。并及时用电话与书面形式报告甲方，协商处理方案。备机备件更换后须及时维修并保证修复后及时更换</w:t>
      </w:r>
      <w:r>
        <w:rPr>
          <w:rFonts w:hint="eastAsia" w:ascii="宋体" w:hAnsi="宋体" w:cs="宋体"/>
          <w:sz w:val="24"/>
          <w:szCs w:val="24"/>
          <w:highlight w:val="none"/>
          <w:lang w:val="en-US" w:eastAsia="zh-CN"/>
        </w:rPr>
        <w:t xml:space="preserve">回</w:t>
      </w:r>
      <w:r>
        <w:rPr>
          <w:rFonts w:hint="eastAsia" w:ascii="宋体" w:hAnsi="宋体" w:cs="宋体"/>
          <w:sz w:val="24"/>
          <w:szCs w:val="24"/>
          <w:highlight w:val="none"/>
        </w:rPr>
        <w:t xml:space="preserve">原位置，保证正常使用。</w:t>
      </w:r>
      <w:r/>
    </w:p>
    <w:p>
      <w:pPr>
        <w:pStyle w:val="1100"/>
        <w:ind w:firstLine="420"/>
        <w:spacing w:line="500" w:lineRule="exact"/>
        <w:rPr>
          <w:rFonts w:hint="eastAsia" w:ascii="宋体" w:hAnsi="宋体" w:cs="宋体"/>
          <w:b/>
          <w:bCs/>
          <w:sz w:val="24"/>
          <w:szCs w:val="24"/>
          <w:highlight w:val="none"/>
          <w:lang w:val="zh-CN"/>
        </w:rPr>
      </w:pPr>
      <w:r>
        <w:rPr>
          <w:rFonts w:hint="eastAsia" w:ascii="宋体" w:hAnsi="宋体" w:cs="宋体"/>
          <w:b/>
          <w:bCs/>
          <w:sz w:val="24"/>
          <w:szCs w:val="24"/>
          <w:highlight w:val="none"/>
        </w:rPr>
        <w:t xml:space="preserve">2.9</w:t>
      </w:r>
      <w:r>
        <w:rPr>
          <w:rFonts w:hint="eastAsia" w:ascii="宋体" w:hAnsi="宋体" w:cs="宋体"/>
          <w:b/>
          <w:bCs/>
          <w:sz w:val="24"/>
          <w:szCs w:val="24"/>
          <w:highlight w:val="none"/>
          <w:lang w:val="zh-CN"/>
        </w:rPr>
        <w:t xml:space="preserve">运维工作执行标准</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2.9.1《水污染物排放总量监测技术规范》</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2.9.2《水和废水监测分析方法》（第四版）</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2.9.3《环境水质监测质量保证手册》</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2.9.4《</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"http://www.sepa.gov.cn/image20010518/1782.pdf"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地表水和污水监测技术规范》（</w:t>
      </w:r>
      <w:r>
        <w:rPr>
          <w:rFonts w:hint="eastAsia" w:ascii="宋体" w:hAnsi="宋体" w:cs="宋体"/>
          <w:sz w:val="24"/>
          <w:szCs w:val="24"/>
          <w:highlight w:val="none"/>
        </w:rPr>
        <w:fldChar w:fldCharType="end"/>
      </w:r>
      <w:r>
        <w:rPr>
          <w:highlight w:val="none"/>
        </w:rPr>
        <w:fldChar w:fldCharType="begin"/>
      </w:r>
      <w:r>
        <w:rPr>
          <w:highlight w:val="none"/>
        </w:rPr>
        <w:instrText xml:space="preserve"> HYPERLINK "http://www.sepa.gov.cn/image20010518/1782.pdf" </w:instrText>
      </w:r>
      <w:r>
        <w:rPr>
          <w:highlight w:val="none"/>
        </w:rPr>
        <w:fldChar w:fldCharType="separate"/>
      </w:r>
      <w:r>
        <w:rPr>
          <w:rFonts w:hint="eastAsia" w:ascii="宋体" w:hAnsi="宋体" w:cs="宋体"/>
          <w:sz w:val="24"/>
          <w:szCs w:val="24"/>
          <w:highlight w:val="none"/>
        </w:rPr>
        <w:t xml:space="preserve">HJ/T91-2002 </w:t>
      </w:r>
      <w:r>
        <w:rPr>
          <w:rFonts w:hint="eastAsia" w:ascii="宋体" w:hAnsi="宋体" w:cs="宋体"/>
          <w:sz w:val="24"/>
          <w:szCs w:val="24"/>
          <w:highlight w:val="none"/>
        </w:rPr>
        <w:fldChar w:fldCharType="end"/>
      </w:r>
      <w:r>
        <w:rPr>
          <w:highlight w:val="none"/>
        </w:rPr>
        <w:fldChar w:fldCharType="begin"/>
      </w:r>
      <w:r>
        <w:rPr>
          <w:highlight w:val="none"/>
        </w:rPr>
        <w:instrText xml:space="preserve"> HYPERLINK "http://www.sepa.gov.cn/image20010518/1782.pdf" </w:instrText>
      </w:r>
      <w:r>
        <w:rPr>
          <w:highlight w:val="none"/>
        </w:rPr>
        <w:fldChar w:fldCharType="separate"/>
      </w:r>
      <w:r>
        <w:rPr>
          <w:rFonts w:hint="eastAsia" w:ascii="宋体" w:hAnsi="宋体" w:cs="宋体"/>
          <w:sz w:val="24"/>
          <w:szCs w:val="24"/>
          <w:highlight w:val="none"/>
        </w:rPr>
        <w:t xml:space="preserve">）</w:t>
      </w:r>
      <w:r>
        <w:rPr>
          <w:rFonts w:hint="eastAsia" w:ascii="宋体" w:hAnsi="宋体" w:cs="宋体"/>
          <w:sz w:val="24"/>
          <w:szCs w:val="24"/>
          <w:highlight w:val="none"/>
        </w:rPr>
        <w:fldChar w:fldCharType="end"/>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2.9.5《水质河流采样技术指导》（HJ/T52-1999）</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2.9.6《高锰酸盐指数水质自动分析仪技术要求》（HJ/T100-2003）</w:t>
      </w:r>
      <w:r/>
    </w:p>
    <w:p>
      <w:pPr>
        <w:pStyle w:val="1100"/>
        <w:ind w:firstLine="420"/>
        <w:spacing w:line="500" w:lineRule="exact"/>
        <w:rPr>
          <w:rFonts w:ascii="宋体" w:hAnsi="宋体" w:cs="宋体"/>
          <w:sz w:val="24"/>
          <w:szCs w:val="24"/>
          <w:highlight w:val="none"/>
        </w:rPr>
      </w:pPr>
      <w:r>
        <w:rPr>
          <w:rFonts w:hint="eastAsia" w:ascii="宋体" w:hAnsi="宋体" w:cs="宋体"/>
          <w:sz w:val="24"/>
          <w:szCs w:val="24"/>
          <w:highlight w:val="none"/>
        </w:rPr>
        <w:t xml:space="preserve">2.9.7《氨氮水质在线自动监测仪技术要求及检测方法》（HJ 101-2019）</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2.9.8《总氮水质自动分析仪技术要求》（HJ/T 102-2003）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2.9.9《总磷水质自动分析仪技术要求》（HJ/T 103-2003）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2.9.10《pH水质自动分析仪技术要求》（HJ/T96-2003）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2.9.11《电导率水质自动分析仪技术要求》（HJ/T97-2003）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2.9.12《浊度水质自动分析仪技术要求》（HJ/T98-2003）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2.9.13《溶解氧（DO）水质自动分析仪技术要求》（HJ/T99-2003）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2.9.14《国家地表水水质自动监测站运行维护管理实施细则（试行）》</w:t>
      </w:r>
      <w:r/>
    </w:p>
    <w:p>
      <w:pPr>
        <w:pStyle w:val="1100"/>
        <w:ind w:firstLine="420"/>
        <w:spacing w:line="500" w:lineRule="exact"/>
        <w:rPr>
          <w:rFonts w:ascii="宋体" w:hAnsi="宋体" w:cs="宋体"/>
          <w:sz w:val="24"/>
          <w:szCs w:val="24"/>
          <w:highlight w:val="none"/>
        </w:rPr>
      </w:pPr>
      <w:r>
        <w:rPr>
          <w:rFonts w:hint="eastAsia" w:ascii="宋体" w:hAnsi="宋体" w:cs="宋体"/>
          <w:sz w:val="24"/>
          <w:szCs w:val="24"/>
          <w:highlight w:val="none"/>
        </w:rPr>
        <w:t xml:space="preserve">2.9.15《环境水质（地表水）自动监测站运行维护技术规范》（DB32/T 4536-2023）</w:t>
      </w:r>
      <w:r/>
    </w:p>
    <w:p>
      <w:pPr>
        <w:pStyle w:val="1112"/>
        <w:ind w:firstLine="482"/>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注：本项目执行但不限于以上标准、规范，与本项目相关的国家、省、市的文件、政策等须按最新文件执行。</w:t>
      </w:r>
      <w:r/>
    </w:p>
    <w:p>
      <w:pPr>
        <w:pStyle w:val="1110"/>
        <w:ind w:firstLine="482"/>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2.10</w:t>
      </w:r>
      <w:r>
        <w:rPr>
          <w:rFonts w:hint="eastAsia" w:ascii="宋体" w:hAnsi="宋体" w:eastAsia="宋体" w:cs="宋体"/>
          <w:sz w:val="24"/>
          <w:highlight w:val="none"/>
        </w:rPr>
        <w:t xml:space="preserve">安全责任要求</w:t>
      </w:r>
      <w:r/>
    </w:p>
    <w:p>
      <w:pPr>
        <w:ind w:firstLine="482"/>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所派驻的人员在项目实施全过程中应严格按照国家或行业最新安全标准及规范要求实施操作，采取必要的安全防护措施，消除事故隐患，自行负责交通安全。在项目实施过程中，应注意各项操作安全，不违规操作。如未进行必要的安全防护或违规操作等，乙方应承担由此引起的一切后果与责任。</w:t>
      </w:r>
      <w:r/>
    </w:p>
    <w:p>
      <w:pPr>
        <w:pStyle w:val="1109"/>
        <w:ind w:firstLine="482"/>
        <w:spacing w:line="500" w:lineRule="exact"/>
        <w:rPr>
          <w:rFonts w:hint="eastAsia" w:ascii="宋体" w:hAnsi="宋体" w:cs="宋体"/>
          <w:sz w:val="24"/>
          <w:szCs w:val="24"/>
          <w:highlight w:val="none"/>
        </w:rPr>
      </w:pPr>
      <w:r>
        <w:rPr>
          <w:rFonts w:hint="eastAsia" w:ascii="宋体" w:hAnsi="宋体" w:cs="宋体"/>
          <w:b/>
          <w:bCs/>
          <w:sz w:val="24"/>
          <w:szCs w:val="24"/>
          <w:highlight w:val="none"/>
        </w:rPr>
        <w:t xml:space="preserve">第三条 服务期、服务地点</w:t>
      </w:r>
      <w:r/>
    </w:p>
    <w:p>
      <w:pPr>
        <w:pStyle w:val="1099"/>
        <w:contextualSpacing/>
        <w:ind w:firstLine="480"/>
        <w:spacing w:line="500" w:lineRule="exact"/>
        <w:tabs>
          <w:tab w:val="left" w:pos="228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1.服务期：自合同签订日起至2026年12月31日。（</w:t>
      </w:r>
      <w:r>
        <w:rPr>
          <w:rFonts w:hint="eastAsia" w:ascii="宋体" w:hAnsi="宋体" w:cs="宋体"/>
          <w:color w:val="auto"/>
          <w:sz w:val="24"/>
          <w:highlight w:val="none"/>
          <w:lang w:val="en-US" w:eastAsia="zh-CN"/>
        </w:rPr>
        <w:t xml:space="preserve">本合同服务期满，若新合同未签订产生空档期，可经甲乙双方协商签订补充合同，乙方应按原合同标准继续提供运维服务，运维服务费按原合同约定标准，以实际超出原合同的服务天数据实结算，该空档期的服务费总额将控制在原合同采购金额的10%以内，符合《中华人民共和国政府采购法》关于追加采购金额的规定。）</w:t>
      </w:r>
      <w:r/>
    </w:p>
    <w:p>
      <w:pPr>
        <w:pStyle w:val="1106"/>
        <w:contextualSpacing/>
        <w:ind w:firstLine="480"/>
        <w:spacing w:line="500" w:lineRule="exact"/>
        <w:tabs>
          <w:tab w:val="left" w:pos="2280" w:leader="none"/>
        </w:tabs>
        <w:rPr>
          <w:rFonts w:hint="eastAsia" w:ascii="宋体" w:hAnsi="宋体" w:eastAsia="宋体" w:cs="宋体"/>
          <w:b/>
          <w:bCs/>
          <w:highlight w:val="none"/>
        </w:rPr>
      </w:pPr>
      <w:r>
        <w:rPr>
          <w:rFonts w:hint="eastAsia" w:ascii="宋体" w:hAnsi="宋体" w:eastAsia="宋体" w:cs="宋体"/>
          <w:highlight w:val="none"/>
          <w:lang w:val="zh-CN"/>
        </w:rPr>
        <w:t xml:space="preserve">2.服务地点：由甲方指定。</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第四条 组成本合同的有关文件</w:t>
      </w:r>
      <w:r/>
    </w:p>
    <w:p>
      <w:pPr>
        <w:pStyle w:val="1106"/>
        <w:contextualSpacing/>
        <w:ind w:firstLine="480"/>
        <w:spacing w:line="500" w:lineRule="exact"/>
        <w:tabs>
          <w:tab w:val="left" w:pos="2280" w:leader="none"/>
        </w:tabs>
        <w:rPr>
          <w:rFonts w:hint="eastAsia" w:ascii="宋体" w:hAnsi="宋体" w:eastAsia="宋体" w:cs="宋体"/>
          <w:highlight w:val="none"/>
          <w:lang w:val="zh-CN"/>
        </w:rPr>
      </w:pPr>
      <w:r>
        <w:rPr>
          <w:rFonts w:hint="eastAsia" w:ascii="宋体" w:hAnsi="宋体" w:eastAsia="宋体" w:cs="宋体"/>
          <w:highlight w:val="none"/>
          <w:lang w:val="zh-CN"/>
        </w:rPr>
        <w:t xml:space="preserve">下列与本次采购活动有关的文件及有关附件是本合同不可分割的组成部分，与本合同具有同等法律效力，这些文件包括但不限于：</w:t>
      </w:r>
      <w:r/>
    </w:p>
    <w:p>
      <w:pPr>
        <w:pStyle w:val="1106"/>
        <w:contextualSpacing/>
        <w:ind w:firstLine="480"/>
        <w:spacing w:line="500" w:lineRule="exact"/>
        <w:tabs>
          <w:tab w:val="left" w:pos="2280" w:leader="none"/>
        </w:tabs>
        <w:rPr>
          <w:rFonts w:hint="eastAsia" w:ascii="宋体" w:hAnsi="宋体" w:eastAsia="宋体" w:cs="宋体"/>
          <w:highlight w:val="none"/>
          <w:lang w:val="zh-CN"/>
        </w:rPr>
      </w:pPr>
      <w:r>
        <w:rPr>
          <w:rFonts w:hint="eastAsia" w:ascii="宋体" w:hAnsi="宋体" w:eastAsia="宋体" w:cs="宋体"/>
          <w:highlight w:val="none"/>
          <w:lang w:val="zh-CN"/>
        </w:rPr>
        <w:t xml:space="preserve">(1) 磋商文件；</w:t>
      </w:r>
      <w:r/>
    </w:p>
    <w:p>
      <w:pPr>
        <w:pStyle w:val="1106"/>
        <w:contextualSpacing/>
        <w:ind w:firstLine="480"/>
        <w:spacing w:line="500" w:lineRule="exact"/>
        <w:tabs>
          <w:tab w:val="left" w:pos="2280" w:leader="none"/>
        </w:tabs>
        <w:rPr>
          <w:rFonts w:hint="eastAsia" w:ascii="宋体" w:hAnsi="宋体" w:eastAsia="宋体" w:cs="宋体"/>
          <w:highlight w:val="none"/>
          <w:lang w:val="zh-CN"/>
        </w:rPr>
      </w:pPr>
      <w:r>
        <w:rPr>
          <w:rFonts w:hint="eastAsia" w:ascii="宋体" w:hAnsi="宋体" w:eastAsia="宋体" w:cs="宋体"/>
          <w:highlight w:val="none"/>
          <w:lang w:val="zh-CN"/>
        </w:rPr>
        <w:t xml:space="preserve">(2) 乙方提供的响应文件和投标报价表；</w:t>
      </w:r>
      <w:r/>
    </w:p>
    <w:p>
      <w:pPr>
        <w:pStyle w:val="1106"/>
        <w:contextualSpacing/>
        <w:ind w:firstLine="480"/>
        <w:spacing w:line="500" w:lineRule="exact"/>
        <w:tabs>
          <w:tab w:val="left" w:pos="2280" w:leader="none"/>
        </w:tabs>
        <w:rPr>
          <w:rFonts w:hint="eastAsia" w:ascii="宋体" w:hAnsi="宋体" w:eastAsia="宋体" w:cs="宋体"/>
          <w:highlight w:val="none"/>
          <w:lang w:val="zh-CN"/>
        </w:rPr>
      </w:pPr>
      <w:r>
        <w:rPr>
          <w:rFonts w:hint="eastAsia" w:ascii="宋体" w:hAnsi="宋体" w:eastAsia="宋体" w:cs="宋体"/>
          <w:highlight w:val="none"/>
          <w:lang w:val="zh-CN"/>
        </w:rPr>
        <w:t xml:space="preserve">(3) 乙方在招投标过程中所作的其他承诺、声明、书面澄清等；</w:t>
      </w:r>
      <w:r/>
    </w:p>
    <w:p>
      <w:pPr>
        <w:pStyle w:val="1106"/>
        <w:contextualSpacing/>
        <w:ind w:firstLine="480"/>
        <w:spacing w:line="500" w:lineRule="exact"/>
        <w:tabs>
          <w:tab w:val="left" w:pos="2280" w:leader="none"/>
        </w:tabs>
        <w:rPr>
          <w:rFonts w:hint="eastAsia" w:ascii="宋体" w:hAnsi="宋体" w:eastAsia="宋体" w:cs="宋体"/>
          <w:highlight w:val="none"/>
          <w:lang w:val="zh-CN"/>
        </w:rPr>
      </w:pPr>
      <w:r>
        <w:rPr>
          <w:rFonts w:hint="eastAsia" w:ascii="宋体" w:hAnsi="宋体" w:eastAsia="宋体" w:cs="宋体"/>
          <w:highlight w:val="none"/>
          <w:lang w:val="zh-CN"/>
        </w:rPr>
        <w:t xml:space="preserve">(4) 成交通知书；</w:t>
      </w:r>
      <w:r/>
    </w:p>
    <w:p>
      <w:pPr>
        <w:pStyle w:val="1106"/>
        <w:contextualSpacing/>
        <w:ind w:firstLine="480"/>
        <w:spacing w:line="500" w:lineRule="exact"/>
        <w:tabs>
          <w:tab w:val="left" w:pos="2280" w:leader="none"/>
        </w:tabs>
        <w:rPr>
          <w:rFonts w:hint="eastAsia" w:ascii="宋体" w:hAnsi="宋体" w:eastAsia="宋体" w:cs="宋体"/>
          <w:highlight w:val="none"/>
          <w:lang w:val="zh-CN"/>
        </w:rPr>
      </w:pPr>
      <w:r>
        <w:rPr>
          <w:rFonts w:hint="eastAsia" w:ascii="宋体" w:hAnsi="宋体" w:eastAsia="宋体" w:cs="宋体"/>
          <w:highlight w:val="none"/>
          <w:lang w:val="zh-CN"/>
        </w:rPr>
        <w:t xml:space="preserve">(5) 甲乙双方商定的其他文件等。</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第五条 知识产权</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第六条 保密条款</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第七条 甲、乙双方权利义务</w:t>
      </w:r>
      <w:r/>
    </w:p>
    <w:p>
      <w:pPr>
        <w:pStyle w:val="1113"/>
        <w:ind w:firstLine="420"/>
        <w:spacing w:line="500" w:lineRule="exact"/>
        <w:rPr>
          <w:rFonts w:hint="eastAsia" w:ascii="宋体" w:hAnsi="宋体" w:eastAsia="宋体" w:cs="宋体"/>
          <w:b/>
          <w:bCs/>
          <w:highlight w:val="none"/>
        </w:rPr>
      </w:pPr>
      <w:r/>
      <w:bookmarkStart w:id="67" w:name="_Toc20086"/>
      <w:r/>
      <w:bookmarkStart w:id="68" w:name="_Toc2373"/>
      <w:r/>
      <w:bookmarkStart w:id="69" w:name="_Toc24730"/>
      <w:r>
        <w:rPr>
          <w:rFonts w:hint="eastAsia" w:ascii="宋体" w:hAnsi="宋体" w:eastAsia="宋体" w:cs="宋体"/>
          <w:b/>
          <w:bCs/>
          <w:highlight w:val="none"/>
        </w:rPr>
        <w:t xml:space="preserve">7.1甲方的权利与义务</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7.1.1甲方有权监督、检查乙方按时完成服务工作，对不符合甲方要求的事项，有权要求乙方及时纠正。</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7.1.2甲方应对服务工作情况进行考核，考核结果作为拨付经费的依据。</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7.1.3甲方要为乙方开展服务工作提供必要的工作条件，并按约定拨付乙方的服务经费。</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7.1.4甲方根据需要可以对执行项目的时间、地点或内容作出调整，但应及时通知乙方。</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7.1.5甲方应及时向乙方提供执行活动需要的应由甲方提供的有关资料，包括但不限于文字材料、图案标识和物品等。</w:t>
      </w:r>
      <w:r/>
    </w:p>
    <w:p>
      <w:pPr>
        <w:pStyle w:val="1113"/>
        <w:ind w:firstLine="420"/>
        <w:spacing w:line="500" w:lineRule="exact"/>
        <w:rPr>
          <w:rFonts w:hint="eastAsia" w:ascii="宋体" w:hAnsi="宋体" w:eastAsia="宋体" w:cs="宋体"/>
          <w:b/>
          <w:bCs/>
          <w:highlight w:val="none"/>
        </w:rPr>
      </w:pPr>
      <w:r>
        <w:rPr>
          <w:rFonts w:hint="eastAsia" w:ascii="宋体" w:hAnsi="宋体" w:eastAsia="宋体" w:cs="宋体"/>
          <w:b/>
          <w:bCs/>
          <w:highlight w:val="none"/>
        </w:rPr>
        <w:t xml:space="preserve">7.2乙方的权利与义务</w:t>
      </w:r>
      <w:r/>
    </w:p>
    <w:p>
      <w:pPr>
        <w:pStyle w:val="1113"/>
        <w:ind w:firstLine="420"/>
        <w:spacing w:line="500" w:lineRule="exact"/>
        <w:rPr>
          <w:rFonts w:hint="eastAsia" w:ascii="宋体" w:hAnsi="宋体" w:eastAsia="宋体" w:cs="宋体"/>
          <w:highlight w:val="none"/>
        </w:rPr>
      </w:pPr>
      <w:r>
        <w:rPr>
          <w:rFonts w:hint="eastAsia" w:ascii="宋体" w:hAnsi="宋体" w:eastAsia="宋体" w:cs="宋体"/>
          <w:highlight w:val="none"/>
        </w:rPr>
        <w:t xml:space="preserve">7.2.1乙方应认真完成合同约定的各项服务内容，保证良好的工作质量。</w:t>
      </w:r>
      <w:r/>
    </w:p>
    <w:p>
      <w:pPr>
        <w:pStyle w:val="1113"/>
        <w:ind w:firstLine="420"/>
        <w:spacing w:line="500" w:lineRule="exact"/>
        <w:rPr>
          <w:rFonts w:hint="eastAsia" w:ascii="宋体" w:hAnsi="宋体" w:eastAsia="宋体" w:cs="宋体"/>
          <w:highlight w:val="none"/>
        </w:rPr>
      </w:pPr>
      <w:r>
        <w:rPr>
          <w:rFonts w:hint="eastAsia" w:ascii="宋体" w:hAnsi="宋体" w:eastAsia="宋体" w:cs="宋体"/>
          <w:highlight w:val="none"/>
        </w:rPr>
        <w:t xml:space="preserve">7.2.2乙方应自觉接受甲方的业务指导和检查监督，按照甲方的要求提供所需的材料。</w:t>
      </w:r>
      <w:r/>
    </w:p>
    <w:p>
      <w:pPr>
        <w:pStyle w:val="1113"/>
        <w:ind w:firstLine="420"/>
        <w:spacing w:line="500" w:lineRule="exact"/>
        <w:rPr>
          <w:rFonts w:hint="eastAsia" w:ascii="宋体" w:hAnsi="宋体" w:eastAsia="宋体" w:cs="宋体"/>
          <w:highlight w:val="none"/>
        </w:rPr>
      </w:pPr>
      <w:r>
        <w:rPr>
          <w:rFonts w:hint="eastAsia" w:ascii="宋体" w:hAnsi="宋体" w:eastAsia="宋体" w:cs="宋体"/>
          <w:highlight w:val="none"/>
        </w:rPr>
        <w:t xml:space="preserve">7.2.3如甲方对执行项目的时间、地点或内容作出调整，乙方应在接到通知后立即按调整后的方案开展工作。</w:t>
      </w:r>
      <w:r/>
    </w:p>
    <w:p>
      <w:pPr>
        <w:pStyle w:val="1113"/>
        <w:ind w:firstLine="420"/>
        <w:spacing w:line="500" w:lineRule="exact"/>
        <w:rPr>
          <w:rFonts w:hint="eastAsia" w:ascii="宋体" w:hAnsi="宋体" w:eastAsia="宋体" w:cs="宋体"/>
          <w:highlight w:val="none"/>
        </w:rPr>
      </w:pPr>
      <w:r>
        <w:rPr>
          <w:rFonts w:hint="eastAsia" w:ascii="宋体" w:hAnsi="宋体" w:eastAsia="宋体" w:cs="宋体"/>
          <w:highlight w:val="none"/>
        </w:rPr>
        <w:t xml:space="preserve">7.2.4乙方应按照甲方的要求，认真填报各类报表、统计数据等，不得擅自涂改、</w:t>
      </w:r>
      <w:r>
        <w:rPr>
          <w:rFonts w:hint="eastAsia" w:ascii="宋体" w:hAnsi="宋体" w:eastAsia="宋体" w:cs="宋体"/>
          <w:highlight w:val="none"/>
          <w:lang w:val="en-US" w:eastAsia="zh-CN"/>
        </w:rPr>
        <w:t xml:space="preserve">伪造</w:t>
      </w:r>
      <w:r>
        <w:rPr>
          <w:rFonts w:hint="eastAsia" w:ascii="宋体" w:hAnsi="宋体" w:eastAsia="宋体" w:cs="宋体"/>
          <w:highlight w:val="none"/>
        </w:rPr>
        <w:t xml:space="preserve">、销毁。</w:t>
      </w:r>
      <w:r/>
    </w:p>
    <w:p>
      <w:pPr>
        <w:pStyle w:val="1109"/>
        <w:ind w:firstLine="482"/>
        <w:spacing w:line="500" w:lineRule="exact"/>
        <w:rPr>
          <w:rFonts w:hint="eastAsia" w:ascii="宋体" w:hAnsi="宋体" w:cs="宋体"/>
          <w:sz w:val="24"/>
          <w:szCs w:val="24"/>
          <w:highlight w:val="none"/>
        </w:rPr>
      </w:pPr>
      <w:r>
        <w:rPr>
          <w:rFonts w:hint="eastAsia" w:ascii="宋体" w:hAnsi="宋体" w:cs="宋体"/>
          <w:b/>
          <w:bCs/>
          <w:sz w:val="24"/>
          <w:szCs w:val="24"/>
          <w:highlight w:val="none"/>
        </w:rPr>
        <w:t xml:space="preserve">第八条 风险责任</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1109"/>
        <w:ind w:firstLine="482"/>
        <w:spacing w:line="500" w:lineRule="exact"/>
        <w:rPr>
          <w:rFonts w:hint="eastAsia" w:ascii="宋体" w:hAnsi="宋体" w:cs="宋体"/>
          <w:sz w:val="24"/>
          <w:szCs w:val="24"/>
          <w:highlight w:val="none"/>
        </w:rPr>
      </w:pPr>
      <w:r>
        <w:rPr>
          <w:rFonts w:hint="eastAsia" w:ascii="宋体" w:hAnsi="宋体" w:cs="宋体"/>
          <w:b/>
          <w:bCs/>
          <w:sz w:val="24"/>
          <w:szCs w:val="24"/>
          <w:highlight w:val="none"/>
        </w:rPr>
        <w:t xml:space="preserve">第九条 履约保证金</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本项目不收取履约保证金。</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第十条 付款方式</w:t>
      </w:r>
      <w:r/>
    </w:p>
    <w:p>
      <w:pPr>
        <w:ind w:firstLine="482"/>
        <w:spacing w:line="500" w:lineRule="exact"/>
        <w:rPr>
          <w:rFonts w:hint="eastAsia" w:ascii="宋体" w:hAnsi="宋体" w:cs="宋体"/>
          <w:b/>
          <w:sz w:val="24"/>
          <w:highlight w:val="none"/>
        </w:rPr>
      </w:pPr>
      <w:r>
        <w:rPr>
          <w:rFonts w:hint="eastAsia" w:ascii="宋体" w:hAnsi="宋体" w:cs="宋体"/>
          <w:b/>
          <w:sz w:val="24"/>
          <w:highlight w:val="none"/>
        </w:rPr>
        <w:t xml:space="preserve">对于满足合同约定支付条件的，自收到发票后10个工作日内将资金支付到合同约定的乙方账户或乙方数字人民币账户。</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1、预付款：合同金额的 20 %，合同签订后按规定支付；</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2、进度款：运维服务期满</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个月，支付</w:t>
      </w:r>
      <w:r>
        <w:rPr>
          <w:rFonts w:hint="eastAsia" w:ascii="宋体" w:hAnsi="宋体" w:cs="宋体"/>
          <w:bCs/>
          <w:sz w:val="24"/>
          <w:szCs w:val="24"/>
          <w:highlight w:val="none"/>
          <w:lang w:val="en-US" w:eastAsia="zh-CN"/>
        </w:rPr>
        <w:t xml:space="preserve">至</w:t>
      </w:r>
      <w:r>
        <w:rPr>
          <w:rFonts w:hint="eastAsia" w:ascii="宋体" w:hAnsi="宋体" w:cs="宋体"/>
          <w:bCs/>
          <w:sz w:val="24"/>
          <w:szCs w:val="24"/>
          <w:highlight w:val="none"/>
        </w:rPr>
        <w:t xml:space="preserve">合同价款的</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0%作为进度款；</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3、尾款：运维服务期满支付</w:t>
      </w:r>
      <w:r>
        <w:rPr>
          <w:rFonts w:hint="eastAsia" w:ascii="宋体" w:hAnsi="宋体" w:cs="宋体"/>
          <w:bCs/>
          <w:sz w:val="24"/>
          <w:szCs w:val="24"/>
          <w:highlight w:val="none"/>
          <w:lang w:val="en-US" w:eastAsia="zh-CN"/>
        </w:rPr>
        <w:t xml:space="preserve">对应的</w:t>
      </w:r>
      <w:r>
        <w:rPr>
          <w:rFonts w:hint="eastAsia" w:ascii="宋体" w:hAnsi="宋体" w:cs="宋体"/>
          <w:bCs/>
          <w:sz w:val="24"/>
          <w:szCs w:val="24"/>
          <w:highlight w:val="none"/>
        </w:rPr>
        <w:t xml:space="preserve">合同</w:t>
      </w:r>
      <w:r>
        <w:rPr>
          <w:rFonts w:hint="eastAsia" w:ascii="宋体" w:hAnsi="宋体" w:cs="宋体"/>
          <w:bCs/>
          <w:sz w:val="24"/>
          <w:szCs w:val="24"/>
          <w:highlight w:val="none"/>
          <w:lang w:val="en-US" w:eastAsia="zh-CN"/>
        </w:rPr>
        <w:t xml:space="preserve">余</w:t>
      </w:r>
      <w:r>
        <w:rPr>
          <w:rFonts w:hint="eastAsia" w:ascii="宋体" w:hAnsi="宋体" w:cs="宋体"/>
          <w:bCs/>
          <w:sz w:val="24"/>
          <w:szCs w:val="24"/>
          <w:highlight w:val="none"/>
        </w:rPr>
        <w:t xml:space="preserve">款，运维考核从余款中扣除。</w:t>
      </w:r>
      <w:r/>
    </w:p>
    <w:p>
      <w:pPr>
        <w:ind w:firstLine="482"/>
        <w:spacing w:line="520" w:lineRule="exact"/>
        <w:rPr>
          <w:rFonts w:hint="eastAsia" w:ascii="宋体" w:hAnsi="宋体" w:eastAsia="宋体" w:cs="宋体"/>
          <w:bCs/>
          <w:strike/>
          <w:sz w:val="24"/>
          <w:szCs w:val="24"/>
          <w:highlight w:val="none"/>
          <w:lang w:eastAsia="zh-CN"/>
        </w:rPr>
      </w:pPr>
      <w:r>
        <w:rPr>
          <w:rFonts w:hint="eastAsia" w:ascii="宋体" w:hAnsi="宋体" w:cs="宋体"/>
          <w:bCs/>
          <w:sz w:val="24"/>
          <w:szCs w:val="24"/>
          <w:highlight w:val="none"/>
        </w:rPr>
        <w:t xml:space="preserve">注：在签订合同时，成交人明确表示无需预付款或者主动要求降低预付款比例的金额，</w:t>
      </w:r>
      <w:r>
        <w:rPr>
          <w:rFonts w:hint="eastAsia" w:ascii="宋体" w:hAnsi="宋体" w:cs="宋体"/>
          <w:bCs/>
          <w:strike w:val="0"/>
          <w:sz w:val="24"/>
          <w:szCs w:val="24"/>
          <w:highlight w:val="none"/>
        </w:rPr>
        <w:t xml:space="preserve">采购人可不适用预付款规定。水站详细情况见市控水质自动监测站点及市控水质自动监测站点设备清单的表1、2，后期站点数量如有变动的，根据成交价格相应比例支付(注：</w:t>
      </w:r>
      <w:r>
        <w:rPr>
          <w:rFonts w:hint="eastAsia" w:ascii="宋体" w:hAnsi="宋体" w:cs="宋体"/>
          <w:bCs/>
          <w:strike w:val="0"/>
          <w:sz w:val="24"/>
          <w:szCs w:val="24"/>
          <w:highlight w:val="none"/>
          <w:lang w:val="en-US" w:eastAsia="zh-CN"/>
        </w:rPr>
        <w:t xml:space="preserve">实际</w:t>
      </w:r>
      <w:r>
        <w:rPr>
          <w:rFonts w:hint="eastAsia" w:ascii="宋体" w:hAnsi="宋体" w:cs="宋体"/>
          <w:bCs/>
          <w:strike w:val="0"/>
          <w:sz w:val="24"/>
          <w:szCs w:val="24"/>
          <w:highlight w:val="none"/>
        </w:rPr>
        <w:t xml:space="preserve">运维费按照“实际运维天数*实际运维站点数量*日单价（合同总价/365/14）”计算</w:t>
      </w:r>
      <w:r>
        <w:rPr>
          <w:rFonts w:hint="eastAsia" w:ascii="宋体" w:hAnsi="宋体" w:cs="宋体"/>
          <w:bCs/>
          <w:strike w:val="0"/>
          <w:sz w:val="24"/>
          <w:szCs w:val="24"/>
          <w:highlight w:val="none"/>
          <w:lang w:eastAsia="zh-CN"/>
        </w:rPr>
        <w:t xml:space="preserve">）</w:t>
      </w:r>
      <w:r/>
    </w:p>
    <w:p>
      <w:pPr>
        <w:ind w:firstLine="480"/>
        <w:spacing w:line="50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资金支付的</w:t>
      </w:r>
      <w:r>
        <w:rPr>
          <w:rFonts w:hint="eastAsia" w:ascii="宋体" w:hAnsi="宋体" w:cs="宋体"/>
          <w:bCs/>
          <w:sz w:val="24"/>
          <w:highlight w:val="none"/>
        </w:rPr>
        <w:t xml:space="preserve">时间</w:t>
      </w:r>
      <w:r>
        <w:rPr>
          <w:rFonts w:hint="eastAsia" w:ascii="宋体" w:hAnsi="宋体" w:cs="宋体"/>
          <w:bCs/>
          <w:sz w:val="24"/>
          <w:highlight w:val="none"/>
          <w:lang w:val="zh-CN"/>
        </w:rPr>
        <w:t xml:space="preserve">：</w:t>
      </w:r>
      <w:r>
        <w:rPr>
          <w:rFonts w:hint="eastAsia" w:ascii="宋体" w:hAnsi="宋体" w:cs="宋体"/>
          <w:bCs/>
          <w:sz w:val="24"/>
          <w:highlight w:val="none"/>
        </w:rPr>
        <w:t xml:space="preserve">收到乙方发票</w:t>
      </w:r>
      <w:r>
        <w:rPr>
          <w:rFonts w:hint="eastAsia" w:ascii="宋体" w:hAnsi="宋体" w:cs="宋体"/>
          <w:bCs/>
          <w:sz w:val="24"/>
          <w:highlight w:val="none"/>
          <w:lang w:val="en-US" w:eastAsia="zh-CN"/>
        </w:rPr>
        <w:t xml:space="preserve">10个工作日</w:t>
      </w:r>
      <w:r>
        <w:rPr>
          <w:rFonts w:hint="eastAsia" w:ascii="宋体" w:hAnsi="宋体" w:cs="宋体"/>
          <w:bCs/>
          <w:sz w:val="24"/>
          <w:highlight w:val="none"/>
        </w:rPr>
        <w:t xml:space="preserve">内</w:t>
      </w:r>
      <w:r>
        <w:rPr>
          <w:rFonts w:hint="eastAsia" w:ascii="宋体" w:hAnsi="宋体" w:cs="宋体"/>
          <w:bCs/>
          <w:sz w:val="24"/>
          <w:highlight w:val="none"/>
          <w:lang w:val="zh-CN"/>
        </w:rPr>
        <w:t xml:space="preserve">。</w:t>
      </w:r>
      <w:r/>
    </w:p>
    <w:p>
      <w:pPr>
        <w:ind w:firstLine="480"/>
        <w:spacing w:line="500" w:lineRule="exact"/>
        <w:rPr>
          <w:rFonts w:hint="eastAsia" w:ascii="宋体" w:hAnsi="宋体" w:cs="宋体"/>
          <w:bCs/>
          <w:sz w:val="24"/>
          <w:highlight w:val="none"/>
        </w:rPr>
      </w:pPr>
      <w:r>
        <w:rPr>
          <w:rFonts w:hint="eastAsia" w:ascii="宋体" w:hAnsi="宋体" w:cs="宋体"/>
          <w:bCs/>
          <w:sz w:val="24"/>
          <w:highlight w:val="none"/>
          <w:lang w:val="zh-CN"/>
        </w:rPr>
        <w:t xml:space="preserve">资金支付</w:t>
      </w:r>
      <w:r>
        <w:rPr>
          <w:rFonts w:hint="eastAsia" w:ascii="宋体" w:hAnsi="宋体" w:cs="宋体"/>
          <w:bCs/>
          <w:sz w:val="24"/>
          <w:highlight w:val="none"/>
        </w:rPr>
        <w:t xml:space="preserve">的条件：满足相应阶段的要求且收到乙方发票。</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第十一条 合同的变更和终止</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11.1除《政府采购法》第50条第二款规定的情形外，本合同一经签订，甲乙双方不得擅自变更、中止或终止合同。</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11.2除发生法律规定的不能预见、不能避免并不能克服的客观情况外，甲乙双方不得放弃或拒绝履行合同。</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第十二条 合同的转让</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12.1乙方不得擅自部分或全部转让其应履行的合同义务。</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12.2乙方在履行合同过程中，不得将服务项目委托给第三方。</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第十三条 违约责任</w:t>
      </w:r>
      <w:r/>
    </w:p>
    <w:p>
      <w:pPr>
        <w:pStyle w:val="1113"/>
        <w:ind w:firstLine="480"/>
        <w:spacing w:line="500" w:lineRule="exact"/>
        <w:rPr>
          <w:rFonts w:hint="eastAsia" w:ascii="宋体" w:hAnsi="宋体" w:eastAsia="宋体" w:cs="宋体"/>
          <w:highlight w:val="none"/>
        </w:rPr>
      </w:pPr>
      <w:r>
        <w:rPr>
          <w:rFonts w:hint="eastAsia" w:ascii="宋体" w:hAnsi="宋体" w:eastAsia="宋体" w:cs="宋体"/>
          <w:highlight w:val="none"/>
        </w:rPr>
        <w:t xml:space="preserve">13.1乙方不按期完成合同约定的内容，应向甲方支付违约金，除甲方或不可抗力造成原因外，每延迟交付一天，按合同总价款的2‰支付违约金，违约金上限不超过合同总价的20%；延期超过5日，甲方有权强制解除合同。               </w:t>
      </w:r>
      <w:r/>
    </w:p>
    <w:p>
      <w:pPr>
        <w:pStyle w:val="1113"/>
        <w:ind w:firstLine="482"/>
        <w:spacing w:line="500" w:lineRule="exact"/>
        <w:widowControl w:val="off"/>
        <w:rPr>
          <w:rFonts w:hint="eastAsia" w:ascii="宋体" w:hAnsi="宋体" w:eastAsia="宋体" w:cs="宋体"/>
          <w:highlight w:val="none"/>
        </w:rPr>
      </w:pPr>
      <w:r>
        <w:rPr>
          <w:rFonts w:hint="eastAsia" w:ascii="宋体" w:hAnsi="宋体" w:eastAsia="宋体" w:cs="宋体"/>
          <w:highlight w:val="none"/>
        </w:rPr>
        <w:t xml:space="preserve">13.2非因甲方原因，乙方不履行本合同规定的义务，致使工作延误，甲方有权要求其强制履行或解除合同，并要求乙方等额赔偿由此造成的一切损失。</w:t>
      </w:r>
      <w:r/>
    </w:p>
    <w:p>
      <w:pPr>
        <w:pStyle w:val="1113"/>
        <w:ind w:firstLine="482"/>
        <w:spacing w:line="500" w:lineRule="exact"/>
        <w:widowControl w:val="off"/>
        <w:rPr>
          <w:rFonts w:hint="eastAsia" w:ascii="宋体" w:hAnsi="宋体" w:eastAsia="宋体" w:cs="宋体"/>
          <w:highlight w:val="none"/>
        </w:rPr>
      </w:pPr>
      <w:r>
        <w:rPr>
          <w:rFonts w:hint="eastAsia" w:ascii="宋体" w:hAnsi="宋体" w:eastAsia="宋体" w:cs="宋体"/>
          <w:highlight w:val="none"/>
        </w:rPr>
        <w:t xml:space="preserve">13.3本项目不得转让分包，如有发生，无条件清理退场，所造成的一切损失由乙方负责。</w:t>
      </w:r>
      <w:r/>
    </w:p>
    <w:p>
      <w:pPr>
        <w:pStyle w:val="1113"/>
        <w:ind w:firstLine="480"/>
        <w:spacing w:line="500" w:lineRule="exact"/>
        <w:widowControl w:val="off"/>
        <w:rPr>
          <w:rFonts w:hint="eastAsia" w:ascii="宋体" w:hAnsi="宋体" w:eastAsia="宋体" w:cs="宋体"/>
          <w:highlight w:val="none"/>
        </w:rPr>
      </w:pPr>
      <w:r>
        <w:rPr>
          <w:rFonts w:hint="eastAsia" w:ascii="宋体" w:hAnsi="宋体" w:eastAsia="宋体" w:cs="宋体"/>
          <w:highlight w:val="none"/>
        </w:rPr>
        <w:t xml:space="preserve">13.4服务期限内，除不可抗力外，非因甲方原因，未经甲方同意，岗位擅自更换人员的，扣除违约金</w:t>
      </w:r>
      <w:r>
        <w:rPr>
          <w:rFonts w:hint="eastAsia" w:ascii="宋体" w:hAnsi="宋体" w:eastAsia="宋体" w:cs="宋体"/>
          <w:highlight w:val="none"/>
          <w:u w:val="single"/>
        </w:rPr>
        <w:t xml:space="preserve">5000</w:t>
      </w:r>
      <w:r>
        <w:rPr>
          <w:rFonts w:hint="eastAsia" w:ascii="宋体" w:hAnsi="宋体" w:eastAsia="宋体" w:cs="宋体"/>
          <w:highlight w:val="none"/>
        </w:rPr>
        <w:t xml:space="preserve">元/人/次，乙方除限期整改外，甲方有权从合同款中直接扣除。</w:t>
      </w:r>
      <w:r/>
    </w:p>
    <w:p>
      <w:pPr>
        <w:pStyle w:val="1113"/>
        <w:ind w:firstLine="480"/>
        <w:spacing w:line="500" w:lineRule="exact"/>
        <w:rPr>
          <w:rFonts w:hint="eastAsia" w:ascii="宋体" w:hAnsi="宋体" w:eastAsia="宋体" w:cs="宋体"/>
          <w:highlight w:val="none"/>
        </w:rPr>
      </w:pPr>
      <w:r>
        <w:rPr>
          <w:rFonts w:hint="eastAsia" w:ascii="宋体" w:hAnsi="宋体" w:eastAsia="宋体" w:cs="宋体"/>
          <w:highlight w:val="none"/>
        </w:rPr>
        <w:t xml:space="preserve">13.5甲方未按约定期限付款的，除向乙方支付货款外，须按中国人民银行有关规定向乙方支付滞纳金。因财政资金未及时拨付至</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处或其他等原因造成</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迟延付款的, </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不承担违约责任。</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第十四条 不可抗力</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甲、乙方中任何一方，因不可抗力不能按时或完全履行合同的，应及时通知对方，并在7个工作日内提供相应证明。未履行完合同部分是否继续履行、如何履行等问题，可由双方初步协商，并向主管部门和政府采购管理部门报告。确定为不可抗力原因造成的损失，可以部分或全部免除责任。因合同一方迟延履行后发生不可抗力的，不能免除责任。</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第十五条 索赔</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在项目服务提供、使用过程中，甲方发现项目质量与合同内容有不符或不满足国家标准或行业标准，有权向乙方提出索赔，乙方在收到甲方索赔通知后10天内应免费进行补救或弥补相应的缺陷。如果乙方在收到通知后10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第十六条 争议的解决</w:t>
      </w:r>
      <w:r/>
    </w:p>
    <w:p>
      <w:pPr>
        <w:pStyle w:val="1113"/>
        <w:ind w:firstLine="480"/>
        <w:spacing w:line="500" w:lineRule="exact"/>
        <w:rPr>
          <w:rFonts w:hint="eastAsia" w:ascii="宋体" w:hAnsi="宋体" w:eastAsia="宋体" w:cs="宋体"/>
          <w:highlight w:val="none"/>
        </w:rPr>
      </w:pPr>
      <w:r>
        <w:rPr>
          <w:rFonts w:hint="eastAsia" w:ascii="宋体" w:hAnsi="宋体" w:eastAsia="宋体" w:cs="宋体"/>
          <w:highlight w:val="none"/>
        </w:rPr>
        <w:t xml:space="preserve">甲乙双方应通过友好协商，解决在执行本合同中所发生的或与本合同有关的一切争议。如果协商仍得不到解决按下列</w:t>
      </w:r>
      <w:r>
        <w:rPr>
          <w:rFonts w:hint="eastAsia" w:ascii="宋体" w:hAnsi="宋体" w:eastAsia="宋体" w:cs="宋体"/>
          <w:highlight w:val="none"/>
          <w:u w:val="single"/>
        </w:rPr>
        <w:t xml:space="preserve">2</w:t>
      </w:r>
      <w:r>
        <w:rPr>
          <w:rFonts w:hint="eastAsia" w:ascii="宋体" w:hAnsi="宋体" w:eastAsia="宋体" w:cs="宋体"/>
          <w:highlight w:val="none"/>
        </w:rPr>
        <w:t xml:space="preserve">方式解决：</w:t>
      </w:r>
      <w:r/>
    </w:p>
    <w:p>
      <w:pPr>
        <w:pStyle w:val="1113"/>
        <w:ind w:firstLine="480"/>
        <w:spacing w:line="500" w:lineRule="exact"/>
        <w:rPr>
          <w:rFonts w:hint="eastAsia" w:ascii="宋体" w:hAnsi="宋体" w:eastAsia="宋体" w:cs="宋体"/>
          <w:highlight w:val="none"/>
        </w:rPr>
      </w:pPr>
      <w:r>
        <w:rPr>
          <w:rFonts w:hint="eastAsia" w:ascii="宋体" w:hAnsi="宋体" w:eastAsia="宋体" w:cs="宋体"/>
          <w:highlight w:val="none"/>
        </w:rPr>
        <w:t xml:space="preserve">16.1提交</w:t>
      </w:r>
      <w:r>
        <w:rPr>
          <w:rFonts w:hint="eastAsia" w:ascii="宋体" w:hAnsi="宋体" w:eastAsia="宋体" w:cs="宋体"/>
          <w:highlight w:val="none"/>
          <w:u w:val="single"/>
        </w:rPr>
        <w:t xml:space="preserve">宿迁市</w:t>
      </w:r>
      <w:r>
        <w:rPr>
          <w:rFonts w:hint="eastAsia" w:ascii="宋体" w:hAnsi="宋体" w:eastAsia="宋体" w:cs="宋体"/>
          <w:highlight w:val="none"/>
        </w:rPr>
        <w:t xml:space="preserve">仲裁委员会仲裁；</w:t>
      </w:r>
      <w:r/>
    </w:p>
    <w:p>
      <w:pPr>
        <w:pStyle w:val="1113"/>
        <w:ind w:firstLine="480"/>
        <w:spacing w:line="500" w:lineRule="exact"/>
        <w:rPr>
          <w:rFonts w:hint="eastAsia" w:ascii="宋体" w:hAnsi="宋体" w:eastAsia="宋体" w:cs="宋体"/>
          <w:highlight w:val="none"/>
        </w:rPr>
      </w:pPr>
      <w:r>
        <w:rPr>
          <w:rFonts w:hint="eastAsia" w:ascii="宋体" w:hAnsi="宋体" w:eastAsia="宋体" w:cs="宋体"/>
          <w:highlight w:val="none"/>
        </w:rPr>
        <w:t xml:space="preserve">16.2依法向</w:t>
      </w:r>
      <w:r>
        <w:rPr>
          <w:rFonts w:hint="eastAsia" w:ascii="宋体" w:hAnsi="宋体" w:eastAsia="宋体" w:cs="宋体"/>
          <w:highlight w:val="none"/>
          <w:u w:val="single"/>
        </w:rPr>
        <w:t xml:space="preserve">甲方所在地</w:t>
      </w:r>
      <w:r>
        <w:rPr>
          <w:rFonts w:hint="eastAsia" w:ascii="宋体" w:hAnsi="宋体" w:eastAsia="宋体" w:cs="宋体"/>
          <w:highlight w:val="none"/>
        </w:rPr>
        <w:t xml:space="preserve">人民法院提起诉讼。</w:t>
      </w:r>
      <w:r/>
    </w:p>
    <w:p>
      <w:pPr>
        <w:pStyle w:val="1109"/>
        <w:ind w:firstLine="482"/>
        <w:spacing w:line="500" w:lineRule="exact"/>
        <w:rPr>
          <w:rFonts w:hint="eastAsia" w:ascii="宋体" w:hAnsi="宋体" w:cs="宋体"/>
          <w:sz w:val="24"/>
          <w:szCs w:val="24"/>
          <w:highlight w:val="none"/>
        </w:rPr>
      </w:pPr>
      <w:r>
        <w:rPr>
          <w:rFonts w:hint="eastAsia" w:ascii="宋体" w:hAnsi="宋体" w:cs="宋体"/>
          <w:b/>
          <w:bCs/>
          <w:sz w:val="24"/>
          <w:szCs w:val="24"/>
          <w:highlight w:val="none"/>
        </w:rPr>
        <w:t xml:space="preserve">第十七条 诚实信用</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乙方应诚实信用，严格按照磋商文件要求和投标承诺履行合同，不向甲方进行商业贿赂或者提供不正当利益。</w:t>
      </w:r>
      <w:r/>
    </w:p>
    <w:p>
      <w:pPr>
        <w:pStyle w:val="110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第十八条 合同生效及其他</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1、本合同自经甲乙双方法定（授权）代表签订并加盖公章后，自签订之日起生效。</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2、本合同一式</w:t>
      </w:r>
      <w:r>
        <w:rPr>
          <w:rFonts w:hint="eastAsia" w:ascii="宋体" w:hAnsi="宋体" w:cs="宋体"/>
          <w:sz w:val="24"/>
          <w:szCs w:val="24"/>
          <w:highlight w:val="none"/>
          <w:u w:val="single"/>
        </w:rPr>
        <w:t xml:space="preserve"> 伍</w:t>
      </w:r>
      <w:r>
        <w:rPr>
          <w:rFonts w:hint="eastAsia" w:ascii="宋体" w:hAnsi="宋体" w:cs="宋体"/>
          <w:sz w:val="24"/>
          <w:szCs w:val="24"/>
          <w:highlight w:val="none"/>
        </w:rPr>
        <w:t xml:space="preserve"> 份，甲乙双方各执</w:t>
      </w:r>
      <w:r>
        <w:rPr>
          <w:rFonts w:hint="eastAsia" w:ascii="宋体" w:hAnsi="宋体" w:cs="宋体"/>
          <w:sz w:val="24"/>
          <w:szCs w:val="24"/>
          <w:highlight w:val="none"/>
          <w:u w:val="single"/>
        </w:rPr>
        <w:t xml:space="preserve"> 贰 </w:t>
      </w:r>
      <w:r>
        <w:rPr>
          <w:rFonts w:hint="eastAsia" w:ascii="宋体" w:hAnsi="宋体" w:cs="宋体"/>
          <w:sz w:val="24"/>
          <w:szCs w:val="24"/>
          <w:highlight w:val="none"/>
        </w:rPr>
        <w:t xml:space="preserve">份，代理机构各执</w:t>
      </w:r>
      <w:r>
        <w:rPr>
          <w:rFonts w:hint="eastAsia" w:ascii="宋体" w:hAnsi="宋体" w:cs="宋体"/>
          <w:sz w:val="24"/>
          <w:szCs w:val="24"/>
          <w:highlight w:val="none"/>
          <w:u w:val="single"/>
        </w:rPr>
        <w:t xml:space="preserve"> 壹 </w:t>
      </w:r>
      <w:r>
        <w:rPr>
          <w:rFonts w:hint="eastAsia" w:ascii="宋体" w:hAnsi="宋体" w:cs="宋体"/>
          <w:sz w:val="24"/>
          <w:szCs w:val="24"/>
          <w:highlight w:val="none"/>
        </w:rPr>
        <w:t xml:space="preserve">份存档。</w:t>
      </w:r>
      <w:r/>
    </w:p>
    <w:p>
      <w:pPr>
        <w:pStyle w:val="110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3、本合同应按照中华人民共和国的现行法律进行解释。</w:t>
      </w:r>
      <w:bookmarkEnd w:id="67"/>
      <w:r/>
      <w:bookmarkEnd w:id="68"/>
      <w:r/>
      <w:bookmarkEnd w:id="69"/>
      <w:r/>
      <w:r/>
    </w:p>
    <w:p>
      <w:pPr>
        <w:pStyle w:val="1105"/>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甲方：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（盖章）      乙方：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（盖章）   </w:t>
      </w:r>
      <w:r/>
    </w:p>
    <w:p>
      <w:pPr>
        <w:pStyle w:val="1105"/>
        <w:spacing w:line="500" w:lineRule="exact"/>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地址：</w:t>
      </w:r>
      <w:r>
        <w:rPr>
          <w:rFonts w:hint="eastAsia" w:ascii="宋体" w:hAnsi="宋体" w:cs="宋体"/>
          <w:sz w:val="24"/>
          <w:szCs w:val="24"/>
          <w:highlight w:val="none"/>
          <w:u w:val="single"/>
        </w:rPr>
        <w:t xml:space="preserve">                         </w:t>
      </w:r>
      <w:r/>
    </w:p>
    <w:p>
      <w:pPr>
        <w:pStyle w:val="1105"/>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法定（授权）代表人：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法定（授权）代表人：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pStyle w:val="1105"/>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pStyle w:val="1105"/>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开户银行：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开户银行：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pStyle w:val="1105"/>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账    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账    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ind w:firstLine="420"/>
        <w:spacing w:line="500" w:lineRule="exact"/>
        <w:rPr>
          <w:rFonts w:hint="eastAsia" w:ascii="宋体" w:hAnsi="宋体" w:cs="宋体"/>
          <w:bCs/>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bookmarkEnd w:id="64"/>
      <w:r/>
      <w:bookmarkEnd w:id="65"/>
      <w:r/>
      <w:bookmarkEnd w:id="66"/>
      <w:r/>
      <w:r/>
    </w:p>
    <w:p>
      <w:pPr>
        <w:ind w:firstLine="480"/>
        <w:spacing w:line="500" w:lineRule="exact"/>
        <w:rPr>
          <w:rFonts w:hint="eastAsia" w:ascii="宋体" w:hAnsi="宋体" w:cs="宋体"/>
          <w:sz w:val="24"/>
          <w:highlight w:val="none"/>
        </w:rPr>
      </w:pPr>
      <w:r/>
      <w:bookmarkStart w:id="70" w:name="_Hlt16619369"/>
      <w:r/>
      <w:bookmarkEnd w:id="70"/>
      <w:r/>
      <w:bookmarkStart w:id="71" w:name="_Hlt16619350"/>
      <w:r/>
      <w:bookmarkStart w:id="72" w:name="_Toc120614244"/>
      <w:r/>
      <w:bookmarkStart w:id="73" w:name="_Toc20823346"/>
      <w:r/>
      <w:bookmarkStart w:id="74" w:name="_Toc16938590"/>
      <w:r/>
      <w:bookmarkStart w:id="75" w:name="_Toc462564139"/>
      <w:r/>
      <w:bookmarkStart w:id="76" w:name="_Toc479757211"/>
      <w:r>
        <w:rPr>
          <w:rFonts w:hint="eastAsia" w:ascii="宋体" w:hAnsi="宋体" w:cs="宋体"/>
          <w:bCs/>
          <w:sz w:val="44"/>
          <w:szCs w:val="21"/>
          <w:highlight w:val="none"/>
        </w:rPr>
        <w:br w:type="page" w:clear="all"/>
      </w:r>
      <w:bookmarkEnd w:id="71"/>
      <w:r/>
      <w:bookmarkEnd w:id="72"/>
      <w:r/>
      <w:bookmarkEnd w:id="73"/>
      <w:r/>
      <w:bookmarkEnd w:id="74"/>
      <w:r/>
      <w:bookmarkStart w:id="77" w:name="_Toc120614281"/>
      <w:r/>
      <w:bookmarkStart w:id="78" w:name="_Toc26554093"/>
      <w:r/>
      <w:bookmarkStart w:id="79" w:name="_Toc49090575"/>
      <w:r/>
      <w:r/>
    </w:p>
    <w:p>
      <w:pPr>
        <w:jc w:val="center"/>
        <w:spacing w:before="120" w:after="120" w:line="0" w:lineRule="atLeast"/>
        <w:rPr>
          <w:rFonts w:hint="eastAsia" w:ascii="宋体" w:hAnsi="宋体" w:cs="宋体"/>
          <w:bCs/>
          <w:sz w:val="44"/>
          <w:szCs w:val="21"/>
          <w:highlight w:val="none"/>
        </w:rPr>
        <w:outlineLvl w:val="0"/>
      </w:pPr>
      <w:r/>
      <w:bookmarkStart w:id="80" w:name="_Toc11233"/>
      <w:r>
        <w:rPr>
          <w:rFonts w:hint="eastAsia" w:ascii="宋体" w:hAnsi="宋体" w:cs="宋体"/>
          <w:b/>
          <w:bCs/>
          <w:sz w:val="44"/>
          <w:szCs w:val="44"/>
          <w:highlight w:val="none"/>
        </w:rPr>
        <w:t xml:space="preserve">第四章  采购需求</w:t>
      </w:r>
      <w:bookmarkEnd w:id="80"/>
      <w:r/>
      <w:r/>
    </w:p>
    <w:p>
      <w:pPr>
        <w:ind w:firstLine="562"/>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一、项目属性：</w:t>
      </w:r>
      <w:r>
        <w:rPr>
          <w:rFonts w:hint="eastAsia" w:ascii="宋体" w:hAnsi="宋体" w:cs="宋体"/>
          <w:bCs/>
          <w:sz w:val="24"/>
          <w:szCs w:val="24"/>
          <w:highlight w:val="none"/>
        </w:rPr>
        <w:t xml:space="preserve">服务类项目</w:t>
      </w:r>
      <w:r/>
    </w:p>
    <w:p>
      <w:pPr>
        <w:ind w:firstLine="562"/>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二、本项目采购标的对应的中小企业划分标准所属行业：</w:t>
      </w:r>
      <w:r>
        <w:rPr>
          <w:rFonts w:hint="eastAsia" w:ascii="宋体" w:hAnsi="宋体" w:cs="宋体"/>
          <w:bCs/>
          <w:sz w:val="24"/>
          <w:szCs w:val="24"/>
          <w:highlight w:val="none"/>
        </w:rPr>
        <w:t xml:space="preserve">其他未列明行业。</w:t>
      </w:r>
      <w:r/>
    </w:p>
    <w:p>
      <w:pPr>
        <w:ind w:firstLine="562"/>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三、本项目不接受进口产品。</w:t>
      </w:r>
      <w:r/>
    </w:p>
    <w:p>
      <w:pPr>
        <w:ind w:firstLine="562"/>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四、项目技术需求内容</w:t>
      </w:r>
      <w:r/>
    </w:p>
    <w:p>
      <w:pPr>
        <w:ind w:firstLine="480"/>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（一）项目概况</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我市目前共有14座市控水站</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此次招标内容为：14座市控水质自动监测站以及国省考断面视频监控的运维服务。</w:t>
      </w:r>
      <w:r/>
    </w:p>
    <w:p>
      <w:pPr>
        <w:ind w:firstLine="480"/>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（二）市控水质自动监测站点及市控水质自动监测站点设备清单</w:t>
      </w:r>
      <w:r/>
    </w:p>
    <w:p>
      <w:pPr>
        <w:pStyle w:val="1108"/>
        <w:jc w:val="center"/>
        <w:spacing w:line="27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08"/>
        <w:jc w:val="center"/>
        <w:spacing w:line="27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表1：14个市控水质自动监测站点统计表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1276"/>
        <w:gridCol w:w="3685"/>
        <w:gridCol w:w="1276"/>
      </w:tblGrid>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站点名称</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所在河流</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监测指标</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所在县区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钟洼大桥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西民便河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泗洪县</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顺河桥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老汴河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泗洪县</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朱圩大桥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西沙河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宿城区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245省道</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西民便河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宿城区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古黄河桥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古黄河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洋河新区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周力桥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古山河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宿城区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朱岭电排站</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新沂河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五参数、高锰酸盐指数、氨氮、总磷、总氮、挥发酚</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宿豫区</w:t>
            </w:r>
            <w:r/>
          </w:p>
        </w:tc>
      </w:tr>
      <w:tr>
        <w:trPr>
          <w:jc w:val="center"/>
          <w:trHeight w:val="45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金沙江路</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六塘河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五参数、高锰酸盐指数、氨氮、总磷、总氮、流量计</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宿豫区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庄圩大桥西偏泓</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淮沭河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泗阳县</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皂河黄河新桥</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古黄河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11</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戴场（浮船站）</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骆马湖</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高锰酸盐指数、氨氮、总磷、总氮</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12</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中运河月堤应急备用水源地取水口</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京杭运河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五参数、氨氮、总磷、总氮、高锰酸盐指数、挥发酚、挥发性有机物、铅、镉、锌、砷</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r>
        <w:trPr>
          <w:jc w:val="center"/>
          <w:trHeight w:val="398"/>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13</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中运河月堤应急备用水源地上游</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京杭运河</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五参数、氨氮、总磷、总氮、高锰酸盐指数</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r>
        <w:trPr>
          <w:jc w:val="center"/>
          <w:trHeight w:val="987"/>
        </w:trPr>
        <w:tc>
          <w:tcPr>
            <w:tcW w:w="959"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14</w:t>
            </w:r>
            <w:r/>
          </w:p>
        </w:tc>
        <w:tc>
          <w:tcPr>
            <w:tcW w:w="1701"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骆马湖水源地</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取水口</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骆马湖</w:t>
            </w:r>
            <w:r/>
          </w:p>
        </w:tc>
        <w:tc>
          <w:tcPr>
            <w:tcW w:w="36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挥发酚、挥发性有机物、生物毒性、藻密度</w:t>
            </w:r>
            <w:r/>
          </w:p>
        </w:tc>
        <w:tc>
          <w:tcPr>
            <w:tcW w:w="127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湖滨新区</w:t>
            </w:r>
            <w:r/>
          </w:p>
        </w:tc>
      </w:tr>
    </w:tbl>
    <w:p>
      <w:pPr>
        <w:pStyle w:val="1082"/>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808"/>
        <w:ind w:firstLine="421"/>
        <w:jc w:val="center"/>
        <w:spacing w:line="360" w:lineRule="auto"/>
        <w:rPr>
          <w:rFonts w:hint="eastAsia" w:ascii="宋体" w:hAnsi="宋体" w:eastAsia="宋体" w:cs="宋体"/>
          <w:bCs/>
          <w:sz w:val="28"/>
          <w:szCs w:val="28"/>
          <w:highlight w:val="none"/>
        </w:rPr>
      </w:pPr>
      <w:r>
        <w:rPr>
          <w:rFonts w:hint="eastAsia" w:ascii="宋体" w:hAnsi="宋体" w:eastAsia="宋体" w:cs="宋体"/>
          <w:szCs w:val="32"/>
          <w:highlight w:val="none"/>
        </w:rPr>
        <w:t xml:space="preserve">表2：14个市控水质自动监测站点设备清单</w:t>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0"/>
        <w:gridCol w:w="3451"/>
        <w:gridCol w:w="2025"/>
        <w:gridCol w:w="1059"/>
      </w:tblGrid>
      <w:tr>
        <w:trPr>
          <w:jc w:val="center"/>
          <w:trHeight w:val="50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设备型号</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设备品牌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数量（台）</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五参数水质分析仪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SC1000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哈希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12</w:t>
            </w:r>
            <w:r/>
          </w:p>
        </w:tc>
      </w:tr>
      <w:tr>
        <w:trPr>
          <w:jc w:val="center"/>
          <w:trHeight w:val="440"/>
        </w:trPr>
        <w:tc>
          <w:tcPr>
            <w:tcBorders>
              <w:top w:val="single" w:color="000000" w:sz="4" w:space="0"/>
              <w:left w:val="single" w:color="000000" w:sz="4" w:space="0"/>
              <w:bottom w:val="none" w:color="000000" w:sz="4" w:space="0"/>
              <w:right w:val="single" w:color="000000" w:sz="4" w:space="0"/>
            </w:tcBorders>
            <w:tcW w:w="2410" w:type="dxa"/>
            <w:vAlign w:val="center"/>
            <w:vMerge w:val="restart"/>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高锰酸盐指数水质分析仪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COD-203A</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哈希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12</w:t>
            </w:r>
            <w:r/>
          </w:p>
        </w:tc>
      </w:tr>
      <w:tr>
        <w:trPr>
          <w:jc w:val="center"/>
          <w:trHeight w:val="440"/>
        </w:trPr>
        <w:tc>
          <w:tcPr>
            <w:tcBorders>
              <w:top w:val="single" w:color="000000" w:sz="4" w:space="0"/>
              <w:left w:val="single" w:color="000000" w:sz="4" w:space="0"/>
              <w:bottom w:val="none" w:color="000000" w:sz="4" w:space="0"/>
              <w:right w:val="single" w:color="000000" w:sz="4" w:space="0"/>
            </w:tcBorders>
            <w:tcW w:w="2410" w:type="dxa"/>
            <w:vAlign w:val="center"/>
            <w:vMerge w:val="continue"/>
            <w:textDirection w:val="lrTb"/>
            <w:noWrap w:val="false"/>
          </w:tcPr>
          <w:p>
            <w:pPr>
              <w:pStyle w:val="1082"/>
              <w:jc w:val="center"/>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Carbo:lyser</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奥地利是能</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氨氮水质分析仪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DWG-8002A</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雷磁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10</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082"/>
              <w:jc w:val="center"/>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Amtax-NA8000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哈希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总磷总氮水质分析仪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NPW-160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哈希</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氨氮总磷水质分析仪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Wiz  probe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意大利希思迪</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总氮水质分析仪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Wiz  probe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意大利希思迪</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铅、锌水质分析仪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SAFIA200-Pb、Zn</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淼通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砷、镉水质分析仪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SAFIA200-As、Cd</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淼通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right w:val="single" w:color="000000" w:sz="4" w:space="0"/>
            </w:tcBorders>
            <w:tcW w:w="2410" w:type="dxa"/>
            <w:vAlign w:val="center"/>
            <w:vMerge w:val="restart"/>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挥发酚水质分析仪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SPA100cc-VP</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淼通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left w:val="single" w:color="000000" w:sz="4" w:space="0"/>
              <w:right w:val="single" w:color="000000" w:sz="4" w:space="0"/>
            </w:tcBorders>
            <w:tcW w:w="2410" w:type="dxa"/>
            <w:vAlign w:val="center"/>
            <w:vMerge w:val="continue"/>
            <w:textDirection w:val="lrTb"/>
            <w:noWrap w:val="false"/>
          </w:tcPr>
          <w:p>
            <w:pPr>
              <w:pStyle w:val="1082"/>
              <w:jc w:val="center"/>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PowerMon NG 131+M311-01</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布朗卢比</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left w:val="single" w:color="000000" w:sz="4" w:space="0"/>
              <w:bottom w:val="single" w:color="000000" w:sz="4" w:space="0"/>
              <w:right w:val="single" w:color="000000" w:sz="4" w:space="0"/>
            </w:tcBorders>
            <w:tcW w:w="2410" w:type="dxa"/>
            <w:vAlign w:val="center"/>
            <w:vMerge w:val="continue"/>
            <w:textDirection w:val="lrTb"/>
            <w:noWrap w:val="false"/>
          </w:tcPr>
          <w:p>
            <w:pPr>
              <w:pStyle w:val="1082"/>
              <w:jc w:val="center"/>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LFS-2002(Phe)</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力合科技</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挥发性有机物水质分析仪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CMS5000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INFICON</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在线藻类人工智能分析仪</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CASA-OLA</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中科水质</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生物毒性</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LFTOX-Z2010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力合科技</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SLD</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HACH/OTT</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1082"/>
              <w:jc w:val="center"/>
              <w:rPr>
                <w:rFonts w:hint="eastAsia" w:ascii="宋体" w:hAnsi="宋体" w:eastAsia="宋体" w:cs="宋体"/>
                <w:b w:val="0"/>
                <w:sz w:val="24"/>
                <w:highlight w:val="none"/>
              </w:rPr>
            </w:pPr>
            <w:r>
              <w:rPr>
                <w:rFonts w:hint="eastAsia" w:ascii="宋体" w:hAnsi="宋体" w:eastAsia="宋体" w:cs="宋体"/>
                <w:b w:val="0"/>
                <w:sz w:val="24"/>
                <w:highlight w:val="none"/>
              </w:rPr>
              <w:t xml:space="preserve">5</w:t>
            </w:r>
            <w:r/>
          </w:p>
        </w:tc>
      </w:tr>
    </w:tbl>
    <w:p>
      <w:pPr>
        <w:ind w:firstLine="480"/>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（三）项目服务要求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1、整体要求：</w:t>
      </w:r>
      <w:r/>
    </w:p>
    <w:p>
      <w:pPr>
        <w:pStyle w:val="808"/>
        <w:ind w:firstLine="480"/>
        <w:spacing w:line="500" w:lineRule="exact"/>
        <w:rPr>
          <w:rFonts w:hint="eastAsia" w:ascii="宋体" w:hAnsi="宋体" w:eastAsia="宋体" w:cs="宋体"/>
          <w:b w:val="0"/>
          <w:sz w:val="24"/>
          <w:highlight w:val="none"/>
        </w:rPr>
      </w:pPr>
      <w:r>
        <w:rPr>
          <w:rFonts w:hint="eastAsia" w:ascii="宋体" w:hAnsi="宋体" w:eastAsia="宋体" w:cs="宋体"/>
          <w:b w:val="0"/>
          <w:sz w:val="24"/>
          <w:highlight w:val="none"/>
        </w:rPr>
        <w:t xml:space="preserve">（1）运维公司必须按照《环境水质（地表水）自动监测站运行维护技术规范》（DB32/T 4536-2023）进行维护。</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（2）成交人提供完整的市控水质自动监测站运行维护实施方案和运维应急预案，明确维护方法、周期、内容及技术保障等。</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成交人应列明14座市控水质自动监测站、自动监控中心站以及国省考断面视频监控网络运行维护期间各项费用预算开支（包括站房维护、仪器试剂、故障维修零配件、易损耗材、运维人员费用、车辆交通、废液处置等；站点运行期间的电费、水费、防雷检测及光纤网络通讯费用；国省考断面视频监控网络通讯费用和故障维修费用）。</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在市控水质自动监测站运行维护期间，成交人应严格按照采购人提出的操作规范，对所管理的系统及仪器设备进行规范操作和精心维护及必要维修，保证系统及仪器设备的正常运行，达到采购人提出的系统及仪器设备考核指标要求。成交人必须接受采购人定期或不定期检查和考核。</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（5）不论何时，成交人都应承担监测数据的保密责任；成交人按照采购人的要求，进行报告和传输有关的监测数据，均不得以任何方式和渠道向外界传递任何监测数据。</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（6）不论何时，成交人无权将采购人的任何资产进行对外投资、合作、经济担保及资产抵押。</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2、对成交人装备的要求：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运维人员必须配备专用工具，包括便携式电脑、万用表、远程数据查询系统等，同时还须配备通讯调试工具。</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3、对成交人提供服务的要求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（1）成交人必须根据本部分要求作出相应应答，明确维护方法、周期、内容及技术保障等。</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（2）《环境水质（地表水）自动监测站运行维护技术规范》（DB32/T 4536-2023）及其实施细则要求。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4、水质自动监测站运行维护要求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市控水质自动监测站要严格按照“日监控，周巡检，月比对”的要求，开展日常维护和质控工作。通过每日监控、每周巡查，确保仪器设备和系统处于正常的运行状况。配备专人负责数据汇总统计，每日发送水质自动监测情况日报。</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（1）岸边站水质自动站运行维护内容及要求</w:t>
      </w:r>
      <w:r/>
    </w:p>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（a）每周工作内容</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639"/>
        <w:gridCol w:w="1970"/>
        <w:gridCol w:w="4675"/>
      </w:tblGrid>
      <w:tr>
        <w:trPr>
          <w:jc w:val="center"/>
        </w:trPr>
        <w:tc>
          <w:tcPr>
            <w:tcW w:w="751"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639"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维护内容</w:t>
            </w:r>
            <w:r/>
          </w:p>
        </w:tc>
        <w:tc>
          <w:tcPr>
            <w:tcW w:w="1970"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维护周期及目标</w:t>
            </w:r>
            <w:r/>
          </w:p>
        </w:tc>
        <w:tc>
          <w:tcPr>
            <w:tcW w:w="4675"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维护要求</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通讯检查</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1次/周，确保控制和数据上传通道畅通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确保工控机各个串口和PLC、数采仪、分析仪器连接一一对应正确且牢固</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通过现场监控软件测试工控与PLC及各个仪器之间是否连接正确</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VPN网络设备检查，保证通讯畅通</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视频监控设备检查，监控视角位置</w:t>
            </w:r>
            <w:r/>
          </w:p>
        </w:tc>
      </w:tr>
      <w:tr>
        <w:trPr>
          <w:jc w:val="center"/>
          <w:trHeight w:val="460"/>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面板开关检查</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1次/周，确保各开关功能正常</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检查控制柜前面板开关和指示灯确保其工作正常</w:t>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配电板清扫</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清扫配电板上各个元件上的灰尘等</w:t>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配电板状态检查</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检查确保配电板上各个接线接头不松动，并清除锈蚀接头。确保各个接触器和继电器工作正常</w:t>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接地检查</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确保各个机柜和用电器接地良好，尤其注意防雷保护器接地</w:t>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温湿度仪检查</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检查温湿度仪是否显示合理，保证温度探头反应灵敏</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稳压电源清扫</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断电情况下清扫稳压电源内的灰尘</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检查碳刷是否正常，磨损较多情况必须更换</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上电测试，确保稳压源工作正常</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UPS检查清扫</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断电情况下清扫UPS各个散热孔上的灰尘</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检查确保UPS充放电正常</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UPS电池箱清扫</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做好绝缘措施情况下清扫UPS电池箱内的灰尘</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确保箱内各个电池联线接触良好牢固</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确保各个电池无漏液，外观正常</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机柜台面清扫及检查</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检查机柜台面及玻璃是否清洁</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检查机柜各门是否关于完好</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11</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实验区清扫</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1次/周，确保室内整齐清洁</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1）保持实验区台面清洁</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2）保持仪器设备摆放</w:t>
            </w:r>
            <w:r>
              <w:rPr>
                <w:rFonts w:hint="eastAsia" w:ascii="宋体" w:hAnsi="宋体" w:cs="宋体"/>
                <w:sz w:val="24"/>
                <w:szCs w:val="24"/>
                <w:highlight w:val="none"/>
                <w:lang w:val="en-US" w:eastAsia="zh-CN"/>
              </w:rPr>
              <w:t xml:space="preserve">整齐</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3）按要求存储试剂</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4）按要求处置废液</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12</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高锰酸盐指数分析仪维护</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1次/周，确保监测仪器所需试剂充足，管路、阀门处于正常状态，仪器电极无沾污，运行稳定，比对数据合格</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1）检查数据传输和报警模块是否正常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2）确保冷却水供应正常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3）清除水浴锅内水垢，疏通管道</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4）确保各个阀门正常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5）检查并更换老化的输送硫酸软管</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6）添加参比电极电解液</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7）清除ORP电极上污垢</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8）检查并更换老化的ORP电极</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13</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氨氮分析仪维护</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1）检查氨氮分析仪加热模块是否正常，是否维持在40℃</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2）检查气敏膜，添加电解液</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3）检查并更换老化的氨氮管路系统</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4）检查并更换老化的氨氮蠕动泵管</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5）检查并更换老化的加热迂回管路</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6）检查并更换老化的电极</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7）修正液位压力传感器参数</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14</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总磷总氮分析仪维护</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1）检查数据传输和报警模块是否正常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2）更换试剂</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3）确保冷却水供应正常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4）清除水浴锅内水垢，疏通管道</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5）检查并更换老化的UV灯</w:t>
            </w:r>
            <w:r/>
          </w:p>
        </w:tc>
      </w:tr>
      <w:tr>
        <w:trPr>
          <w:jc w:val="center"/>
          <w:trHeight w:val="362"/>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6）确保各个阀门正常</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15</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五参数分析仪</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1次/周，确保监测仪器电极无沾污，运行稳定，比对数据合格</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1）检查数据传输和报警模块是否正常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2）检查电极是否被泥沙和藻类沾污</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3）清洗电极更换电极液</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4）检查并更换老化的电极</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5）确保清洗水供应正常</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16</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流量计</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1）检查流量计运行是否正常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2）采取必要的清洗保障措施</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3）对仪器安装支架及桩基的牢固性、腐蚀等情况的检查</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4）及时检查更换老化配件</w:t>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17</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挥发酚分析仪</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vMerge w:val="restart"/>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1）检查仪器运行是否正常</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2）及时检查更换试剂、氩气</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3）采取必要的清洗保障措施</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4）及时检查更换老化配件</w:t>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18</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挥发性有机物分析仪</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vMerge w:val="continue"/>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19</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生物毒性分析仪</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vMerge w:val="continue"/>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20</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铅、镉、锌、砷分析仪</w:t>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vMerge w:val="continue"/>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75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21</w:t>
            </w:r>
            <w:r/>
          </w:p>
        </w:tc>
        <w:tc>
          <w:tcPr>
            <w:tcW w:w="1639"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藻类人工智能分析仪</w:t>
            </w:r>
            <w:r/>
          </w:p>
        </w:tc>
        <w:tc>
          <w:tcPr>
            <w:tcW w:w="1970"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1）检查仪器运行是否正常</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2）检查管路、泵阀状态；</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3）及时检查更换老化配件</w:t>
            </w:r>
            <w:r/>
          </w:p>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4）更换样品测试池（玻片）</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22</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质控模块</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1）检查质控模块是否正常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2）采取必要的清洗保障措施</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3）及时检查更换老化配件</w:t>
            </w:r>
            <w:r/>
          </w:p>
        </w:tc>
      </w:tr>
      <w:tr>
        <w:trPr>
          <w:jc w:val="center"/>
        </w:trPr>
        <w:tc>
          <w:tcPr>
            <w:tcW w:w="751"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23</w:t>
            </w:r>
            <w:r/>
          </w:p>
        </w:tc>
        <w:tc>
          <w:tcPr>
            <w:tcW w:w="1639"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留样单元</w:t>
            </w:r>
            <w:r/>
          </w:p>
        </w:tc>
        <w:tc>
          <w:tcPr>
            <w:tcW w:w="19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1次/周，确保运行稳定</w:t>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1)检查留样单元是否正常</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2）检查留样瓶是否清洁</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3）及时留样</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4）及时清洗、更换留样瓶</w:t>
            </w:r>
            <w:r/>
          </w:p>
        </w:tc>
      </w:tr>
      <w:tr>
        <w:trPr>
          <w:jc w:val="center"/>
        </w:trPr>
        <w:tc>
          <w:tcPr>
            <w:tcW w:w="751"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9"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75"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5）及时检查更换老化配件</w:t>
            </w:r>
            <w:r/>
          </w:p>
        </w:tc>
      </w:tr>
    </w:tbl>
    <w:p>
      <w:pPr>
        <w:pStyle w:val="1100"/>
        <w:ind w:firstLine="480"/>
        <w:spacing w:after="200" w:line="400" w:lineRule="exact"/>
        <w:rPr>
          <w:rFonts w:hint="eastAsia" w:ascii="宋体" w:hAnsi="宋体" w:cs="宋体"/>
          <w:sz w:val="24"/>
          <w:szCs w:val="24"/>
          <w:highlight w:val="none"/>
        </w:rPr>
      </w:pPr>
      <w:r>
        <w:rPr>
          <w:rFonts w:hint="eastAsia" w:ascii="宋体" w:hAnsi="宋体" w:cs="宋体"/>
          <w:sz w:val="24"/>
          <w:szCs w:val="24"/>
          <w:highlight w:val="none"/>
        </w:rPr>
        <w:t xml:space="preserve">（b）每月工作内容</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89"/>
        <w:gridCol w:w="1955"/>
        <w:gridCol w:w="4699"/>
      </w:tblGrid>
      <w:tr>
        <w:trPr>
          <w:jc w:val="center"/>
          <w:trHeight w:val="535"/>
        </w:trPr>
        <w:tc>
          <w:tcPr>
            <w:tcW w:w="724" w:type="dxa"/>
            <w:vAlign w:val="center"/>
            <w:textDirection w:val="lrTb"/>
            <w:noWrap w:val="false"/>
          </w:tcPr>
          <w:p>
            <w:pPr>
              <w:pStyle w:val="808"/>
              <w:jc w:val="center"/>
              <w:spacing w:line="36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p>
        </w:tc>
        <w:tc>
          <w:tcPr>
            <w:tcW w:w="1589" w:type="dxa"/>
            <w:vAlign w:val="center"/>
            <w:textDirection w:val="lrTb"/>
            <w:noWrap w:val="false"/>
          </w:tcPr>
          <w:p>
            <w:pPr>
              <w:pStyle w:val="808"/>
              <w:jc w:val="center"/>
              <w:spacing w:line="36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维护内容</w:t>
            </w:r>
            <w:r/>
          </w:p>
        </w:tc>
        <w:tc>
          <w:tcPr>
            <w:tcW w:w="1955" w:type="dxa"/>
            <w:vAlign w:val="center"/>
            <w:textDirection w:val="lrTb"/>
            <w:noWrap w:val="false"/>
          </w:tcPr>
          <w:p>
            <w:pPr>
              <w:pStyle w:val="808"/>
              <w:jc w:val="center"/>
              <w:spacing w:line="36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维护周期及目标</w:t>
            </w:r>
            <w:r/>
          </w:p>
        </w:tc>
        <w:tc>
          <w:tcPr>
            <w:tcW w:w="4699" w:type="dxa"/>
            <w:vAlign w:val="center"/>
            <w:textDirection w:val="lrTb"/>
            <w:noWrap w:val="false"/>
          </w:tcPr>
          <w:p>
            <w:pPr>
              <w:pStyle w:val="808"/>
              <w:jc w:val="center"/>
              <w:spacing w:line="36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维护要求</w:t>
            </w:r>
            <w:r/>
          </w:p>
        </w:tc>
      </w:tr>
      <w:tr>
        <w:trPr>
          <w:jc w:val="center"/>
          <w:trHeight w:val="285"/>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589"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室外取水管路清洗清淤</w:t>
            </w:r>
            <w:r/>
          </w:p>
        </w:tc>
        <w:tc>
          <w:tcPr>
            <w:tcW w:w="1955"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1次/月，确保管路无泥沙附着</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将室外取水管路淤泥吹出。至少三次空气吹洗，以便达到良好清淤效果。</w:t>
            </w:r>
            <w:r/>
          </w:p>
        </w:tc>
      </w:tr>
      <w:tr>
        <w:trPr>
          <w:jc w:val="center"/>
          <w:trHeight w:val="6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采用3%稀盐酸，对取水管路进行清洗。清洗完毕后15分钟手动运行一次采水流程，以便将管路中残余药剂清洗掉。</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恢复取水管路原状。</w:t>
            </w:r>
            <w:r/>
          </w:p>
        </w:tc>
      </w:tr>
      <w:tr>
        <w:trPr>
          <w:jc w:val="center"/>
          <w:trHeight w:val="285"/>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589"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室内管路清洗</w:t>
            </w:r>
            <w:r/>
          </w:p>
        </w:tc>
        <w:tc>
          <w:tcPr>
            <w:tcW w:w="1955"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2次/月，确保管路透明，无泥沙藻类附着</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手动拆卸阀门、弯头、过滤网和样水杯等部件，用试管刷清洗，清洗后原样装回。</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检查蠕动泵进水塑胶软管脏污情况，必要的情况更换。</w:t>
            </w:r>
            <w:r/>
          </w:p>
        </w:tc>
      </w:tr>
      <w:tr>
        <w:trPr>
          <w:jc w:val="center"/>
          <w:trHeight w:val="315"/>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589"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清洗液位计</w:t>
            </w:r>
            <w:r/>
          </w:p>
        </w:tc>
        <w:tc>
          <w:tcPr>
            <w:tcW w:w="1955"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1次/月，确保液位计工作正常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将液位计拆下，用3%盐酸擦洗浮球和导杆，清除表面钙化物和污物。</w:t>
            </w:r>
            <w:r/>
          </w:p>
        </w:tc>
      </w:tr>
      <w:tr>
        <w:trPr>
          <w:jc w:val="center"/>
          <w:trHeight w:val="315"/>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测量浮球导通电阻，导通电阻必须小于20欧姆，且反应灵敏。</w:t>
            </w:r>
            <w:r/>
          </w:p>
        </w:tc>
      </w:tr>
      <w:tr>
        <w:trPr>
          <w:jc w:val="center"/>
          <w:trHeight w:val="285"/>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原样装回液位计。</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必要的情况更换新液位计。</w:t>
            </w:r>
            <w:r/>
          </w:p>
        </w:tc>
      </w:tr>
      <w:tr>
        <w:trPr>
          <w:jc w:val="center"/>
          <w:trHeight w:val="600"/>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589"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清洗样水杯喷头</w:t>
            </w:r>
            <w:r/>
          </w:p>
        </w:tc>
        <w:tc>
          <w:tcPr>
            <w:tcW w:w="1955"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1次/月，确保喷头工作正常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将样水杯清洗喷头拆下，检查是否有锈蚀状况，轻微锈蚀可采用3%稀盐酸浸泡方法清除锈蚀，严重锈蚀状况直接换新。</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将喷头原样装回后注意调节喷头配水强度。</w:t>
            </w:r>
            <w:r/>
          </w:p>
        </w:tc>
      </w:tr>
      <w:tr>
        <w:trPr>
          <w:jc w:val="center"/>
          <w:trHeight w:val="300"/>
        </w:trPr>
        <w:tc>
          <w:tcPr>
            <w:tcW w:w="724"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589"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取水系统综合测试</w:t>
            </w:r>
            <w:r/>
          </w:p>
        </w:tc>
        <w:tc>
          <w:tcPr>
            <w:tcW w:w="1955" w:type="dxa"/>
            <w:vAlign w:val="center"/>
            <w:vMerge w:val="restart"/>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1次/1月，确保系统取水正常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完成上述测试后复原所有阀门到正确位置。</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检查各个接头是否松动，各个电动球阀接线是否完好。</w:t>
            </w:r>
            <w:r/>
          </w:p>
        </w:tc>
      </w:tr>
      <w:tr>
        <w:trPr>
          <w:jc w:val="center"/>
          <w:trHeight w:val="300"/>
        </w:trPr>
        <w:tc>
          <w:tcPr>
            <w:tcW w:w="724"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55" w:type="dxa"/>
            <w:vAlign w:val="center"/>
            <w:vMerge w:val="continue"/>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检查无误情况下，系统复电，检查整个取水流程是否正常。</w:t>
            </w:r>
            <w:r/>
          </w:p>
        </w:tc>
      </w:tr>
      <w:tr>
        <w:trPr>
          <w:jc w:val="center"/>
          <w:trHeight w:val="300"/>
        </w:trPr>
        <w:tc>
          <w:tcPr>
            <w:tcW w:w="724"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589"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高锰酸盐指数、挥发酚、铅、镉、锌、砷分析仪</w:t>
            </w:r>
            <w:r/>
          </w:p>
        </w:tc>
        <w:tc>
          <w:tcPr>
            <w:tcW w:w="1955"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2次/月，更换试剂并校正，确保数据正常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更换标准校对液和分析试剂，一般不超过15天，夏天视情况缩短更换周期。更换试剂时要将前一批的试剂全部更换干净，而不是补充试剂。</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试剂更换完毕须校正仪器，确保校正数据符合仪器要求。</w:t>
            </w:r>
            <w:r/>
          </w:p>
        </w:tc>
      </w:tr>
      <w:tr>
        <w:trPr>
          <w:jc w:val="center"/>
          <w:trHeight w:val="307"/>
        </w:trPr>
        <w:tc>
          <w:tcPr>
            <w:tcW w:w="724"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89"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氨氮、总磷、总氮、挥发性有机物、生物毒性分析仪</w:t>
            </w:r>
            <w:r/>
          </w:p>
        </w:tc>
        <w:tc>
          <w:tcPr>
            <w:tcW w:w="1955"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1次/月，更换试剂并校正，确保数据正常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更换标准校对液和分析试剂，一般不超过30天，夏天视情况缩短更换周期。更换试剂时要将前一批的试剂全部更换干净，而不是补充试剂。挥发性有机物分析仪还需及时查看更换氩气装置。</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试剂更换完毕须校正仪器，确保校正数据符合仪器要求。</w:t>
            </w:r>
            <w:r/>
          </w:p>
        </w:tc>
      </w:tr>
      <w:tr>
        <w:trPr>
          <w:jc w:val="center"/>
          <w:trHeight w:val="1980"/>
        </w:trPr>
        <w:tc>
          <w:tcPr>
            <w:tcW w:w="724"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589"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藻类人工智能分析仪</w:t>
            </w:r>
            <w:r/>
          </w:p>
        </w:tc>
        <w:tc>
          <w:tcPr>
            <w:tcW w:w="1955"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w:t>
            </w:r>
            <w:r>
              <w:rPr>
                <w:rFonts w:hint="eastAsia" w:ascii="宋体" w:hAnsi="宋体" w:cs="宋体"/>
                <w:highlight w:val="none"/>
              </w:rPr>
              <w:t xml:space="preserve">确保数据正常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更换三个膜片管，并清理使用过的膜片。</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清洁罐体组件的上下罐体内外的沉淀物。</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清洁冲脱仓内的沉淀物。</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洗进样管路。</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检查主机硬盘内存容量，及时清理和备份。</w:t>
            </w:r>
            <w:r/>
          </w:p>
        </w:tc>
      </w:tr>
      <w:tr>
        <w:trPr>
          <w:jc w:val="center"/>
          <w:trHeight w:val="961"/>
        </w:trPr>
        <w:tc>
          <w:tcPr>
            <w:tcW w:w="724"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589"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五参数分析仪</w:t>
            </w:r>
            <w:r/>
          </w:p>
        </w:tc>
        <w:tc>
          <w:tcPr>
            <w:tcW w:w="1955" w:type="dxa"/>
            <w:vAlign w:val="center"/>
            <w:textDirection w:val="lrTb"/>
            <w:noWrap w:val="false"/>
          </w:tcPr>
          <w:p>
            <w:pPr>
              <w:pStyle w:val="110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1次/月，校正pH和溶解氧电极，确保数据正常</w:t>
            </w:r>
            <w:r/>
          </w:p>
        </w:tc>
        <w:tc>
          <w:tcPr>
            <w:tcW w:w="4699" w:type="dxa"/>
            <w:vAlign w:val="center"/>
            <w:textDirection w:val="lrTb"/>
            <w:noWrap w:val="false"/>
          </w:tcPr>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校正pH和溶解氧电极，确保校正数据符合仪器要求。</w:t>
            </w:r>
            <w:r/>
          </w:p>
        </w:tc>
      </w:tr>
    </w:tbl>
    <w:p>
      <w:pPr>
        <w:pStyle w:val="1100"/>
        <w:ind w:firstLine="480"/>
        <w:spacing w:after="200" w:line="400" w:lineRule="exact"/>
        <w:rPr>
          <w:rFonts w:hint="eastAsia" w:ascii="宋体" w:hAnsi="宋体" w:cs="宋体"/>
          <w:sz w:val="24"/>
          <w:szCs w:val="24"/>
          <w:highlight w:val="none"/>
        </w:rPr>
      </w:pPr>
      <w:r>
        <w:rPr>
          <w:rFonts w:hint="eastAsia" w:ascii="宋体" w:hAnsi="宋体" w:cs="宋体"/>
          <w:sz w:val="24"/>
          <w:szCs w:val="24"/>
          <w:highlight w:val="none"/>
        </w:rPr>
        <w:t xml:space="preserve">（c）每2月一次</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510"/>
        <w:gridCol w:w="1988"/>
        <w:gridCol w:w="4697"/>
      </w:tblGrid>
      <w:tr>
        <w:trPr>
          <w:jc w:val="center"/>
        </w:trPr>
        <w:tc>
          <w:tcPr>
            <w:tcW w:w="770"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510"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维护内容</w:t>
            </w:r>
            <w:r/>
          </w:p>
        </w:tc>
        <w:tc>
          <w:tcPr>
            <w:tcW w:w="1988"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维护周期及目标</w:t>
            </w:r>
            <w:r/>
          </w:p>
        </w:tc>
        <w:tc>
          <w:tcPr>
            <w:tcW w:w="4697" w:type="dxa"/>
            <w:vAlign w:val="center"/>
            <w:textDirection w:val="lrTb"/>
            <w:noWrap w:val="false"/>
          </w:tcPr>
          <w:p>
            <w:pPr>
              <w:jc w:val="cente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维护要求</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51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室内管路清洗</w:t>
            </w:r>
            <w:r/>
          </w:p>
        </w:tc>
        <w:tc>
          <w:tcPr>
            <w:tcW w:w="198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2次/月，确保管路透明，无泥沙藻类附着</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手动拆卸阀门、弯头、过滤网和样水杯等部件，用试管刷清洗，清洗后原样装回。</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检查蠕动泵进水塑胶软管脏污情况，必要的情况更换。</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51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电动球阀清洗检查</w:t>
            </w:r>
            <w:r/>
          </w:p>
        </w:tc>
        <w:tc>
          <w:tcPr>
            <w:tcW w:w="198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1次/2月，确保清洗后电动球阀吸合自如，无堵塞和渗漏</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将电动球阀手动拆下，用试管刷清洗后，将电动球阀装回管路。</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开启组态单阀测试程序，单独控制阀门开关，检查阀门开关时间是否符合要求（10s以内）。</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必要的情况替换电动球阀。</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51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单向阀清洗</w:t>
            </w:r>
            <w:r/>
          </w:p>
        </w:tc>
        <w:tc>
          <w:tcPr>
            <w:tcW w:w="198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1次/2月，确保清洗后电动球阀吸合自如，无堵塞和渗漏</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拆下单向阀，用试管刷清洗单向阀阀体及密封橡胶上附着的脏污物，检查密封性是否完好后，原样装回管路。</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必要情况更换单向阀。</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51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压力表测试</w:t>
            </w:r>
            <w:r/>
          </w:p>
        </w:tc>
        <w:tc>
          <w:tcPr>
            <w:tcW w:w="198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1次/2月，确保清洗后压力表读数正常</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拆下压力表表头，清洗清除压力导管内泥沙。</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压缩空气吹脱表头内残留脏污。</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调节空压机输出压力为0.6Mpa，输出气管连接到待测压力表，检查待测压力表显示是否和空压机一致，反应是否灵敏。</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原样装回压力表，注意气密性。</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必要情况更换压力表。</w:t>
            </w:r>
            <w:r/>
          </w:p>
        </w:tc>
      </w:tr>
      <w:tr>
        <w:trPr>
          <w:jc w:val="center"/>
        </w:trPr>
        <w:tc>
          <w:tcPr>
            <w:tcW w:w="77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510"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工控机检查</w:t>
            </w:r>
            <w:r/>
          </w:p>
        </w:tc>
        <w:tc>
          <w:tcPr>
            <w:tcW w:w="1988"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1次/2月</w:t>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检查开机过程中硬件自检过程是否有异常数据传输和报警。</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强制切断电源后复电工控机是否可以自动启动，并运行windos系统、加载现场监控软件，串口连接是否正常。</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插入备份光盘，用ghost软件备份操作系统。将备份好的操作系统和分区D内的文件拷贝到备份移动硬盘上。</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断电后拆下工控机，打开后盖，用细毛刷清</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除电源和主板上的灰尘，尤其注意cpu板、内存和各个串口卡上的灰尘清除。检查各个功能卡接口是否连接牢固。</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检查硬盘SATA连接线是否松动。</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定期对杀毒软件升级，专机专用，禁止从事与工作无关的活动</w:t>
            </w:r>
            <w:r/>
          </w:p>
        </w:tc>
      </w:tr>
      <w:tr>
        <w:trPr>
          <w:jc w:val="center"/>
        </w:trPr>
        <w:tc>
          <w:tcPr>
            <w:tcW w:w="77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10"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988"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697"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装回工控机重复1）、2）步骤</w:t>
            </w:r>
            <w:r/>
          </w:p>
        </w:tc>
      </w:tr>
    </w:tbl>
    <w:p>
      <w:pPr>
        <w:pStyle w:val="1100"/>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（2）浮标站水质自动站运行维护内容及要求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（a）提供、配制并定期更换浮标站仪表所需试剂；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（b）提供并定期更换浮标站系统和仪表所需备品备件（包括各类配件）；</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（c）对浮标站系统和仪表进行定期检修、保养，每月一次；</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（d）及时排除浮标站系统和仪表出现的故障（由于地震、洪水和雷击等不可预防和不可抗拒因素造成的自动站系统及仪器损坏除外）；</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（e）对浮标站仪表进行定期校准、核查、比对、性能测试；</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（f）配合采购人进行水站质量保证和质量质控工作；</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（g）随时接受采购人的工作考核及质量考核；</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（h）保证站点设施清洁，整齐。</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5、站房及基础保障运维要求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（1）保证供电线路正常，对各种外部原因造成供电线路故障的，及时进行修复；</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（2）保证采水系统正常运行，对因各种外部原因造成无法采水或采水不正常的，</w:t>
      </w:r>
      <w:r/>
    </w:p>
    <w:p>
      <w:pPr>
        <w:pStyle w:val="110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及时进行维修和整改；确保采水口5米半径内无水草、垃圾等影响水质监测数据的杂</w:t>
      </w:r>
      <w:r/>
    </w:p>
    <w:p>
      <w:pPr>
        <w:pStyle w:val="110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物；</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（3）保证视频监控系统正常运行（包括：水站视频监控、国省考断面视频监控），维护视频监控系统，出现故障及时修复；</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（4）保证站房基础设施完整，站房、平台楼梯、护栏、标识牌、道路等各种基础设施有破损的，及时进行修复；定期开展站房及周边环境卫生整治，确保干净整洁；</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（5）保证防雷、消防等设施正常运行，做好防雷、消防设施检测，确保检测报告在有效期范围内。</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（6）运行维护及管理期间，不得对环境产生污染，成交人要依法规范收集、贮存、处置所有废液，相关责任由成交人承担，费用由成交人负责。</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6、自动监控中心站运维要求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中心站管理软件维护，按采购人要求增加监测站点、监测指标，完善数据查询、数据有效分析、审核、数据统计分析、图文显示等基本功能。对电脑、服务器及打印机等硬件做好维护保障工作。</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成交人按照要求提供网络：合计14个站点（13个站点为有线网络，1个站点为无线网络）有线网络采用下行100M上行20M；无线网络选用4G或5G物联网卡（每个站点每月不得少于20G流量）。所选网络严格按照国家网络安全要求标准，不得出现网络安全事件，要有网络安全处置措施以及应急预案，如后期根据网络安全标准更改为专线，成交人应无条件按照采购人标准进行整改。</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本项目要根据国家有关法律法规要求开展等级保护，并完成等级保护测评和备案登记。负责系统的网络安全的运维和管理工作，及时开展系统升级、补丁更新等防护工作，定期开展系统安全巡检和加固，及时处置安全漏洞和隐患，保障系统的网络安全，所产生的费用包含在本次项目报价内，采购人不另外支付服务费用。</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7、运维考核要求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磋商文件中未明确的质控管理要求，按照国家或江苏省已制定的相关规范性文件执行，若出台新的管理办法或技术规范时，按新要求执行。</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（1）水质自动站运行指标要求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五参数、氨氮、高锰酸盐指数、总磷、总氮、挥发酚、挥发性有机物、生物毒性、藻类人工智能分析仪、铅、镉、锌、砷等分析仪器总体月数据有效率≥95％（除去停水停电，恶劣天气无法入湖、性能测试及其他不可抗拒因素引起的故障）。数据有效率的计算方法参照《江苏省地表水自动监测站运行管理办法（试行）》（苏环办〔2020〕174号）中有关规定执行。</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（2）数据质量要求</w:t>
      </w:r>
      <w:r/>
    </w:p>
    <w:p>
      <w:pPr>
        <w:pStyle w:val="808"/>
        <w:ind w:firstLine="480"/>
        <w:spacing w:line="500" w:lineRule="exact"/>
        <w:rPr>
          <w:rFonts w:hint="eastAsia" w:ascii="宋体" w:hAnsi="宋体" w:eastAsia="宋体" w:cs="宋体"/>
          <w:b w:val="0"/>
          <w:sz w:val="24"/>
          <w:highlight w:val="none"/>
        </w:rPr>
      </w:pPr>
      <w:r>
        <w:rPr>
          <w:rFonts w:hint="eastAsia" w:ascii="宋体" w:hAnsi="宋体" w:eastAsia="宋体" w:cs="宋体"/>
          <w:b w:val="0"/>
          <w:sz w:val="24"/>
          <w:highlight w:val="none"/>
        </w:rPr>
        <w:t xml:space="preserve">要求成交人参照《环境水质（地表水）自动监测站运行维护技术规范》（DB32/T 4536-2023）要求，定期开展标液核查、质控考核、水样比对、加标回收和系统审核工作，并将结果报采购人。</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（3）数据数量要求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成交人应保证在运行维护期间，确保年度监测数据捕捉率≥90%，数据误差符合检测项目性能指标要求。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采用连续测定情况下，高锰酸盐指数水质在线自动监测仪、总磷水质自动分析仪、氨氮水质自动分析仪、总氮自动分析仪等至少每天保证有6组有效数据（1-10序号水站，4小时/次）、2组（11序号水站，12小时/次）或12组有效数据（12-14序号水站，2小时/次）。</w:t>
      </w:r>
      <w:r/>
    </w:p>
    <w:p>
      <w:pPr>
        <w:pStyle w:val="1110"/>
        <w:ind w:firstLine="480"/>
        <w:spacing w:line="500" w:lineRule="exact"/>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t xml:space="preserve">（4）月度考核具体内容</w:t>
      </w:r>
      <w:r/>
    </w:p>
    <w:p>
      <w:pPr>
        <w:pStyle w:val="1110"/>
        <w:ind w:firstLine="480"/>
        <w:spacing w:line="500" w:lineRule="exact"/>
        <w:widowControl w:val="off"/>
        <w:rPr>
          <w:rFonts w:hint="eastAsia" w:ascii="宋体" w:hAnsi="宋体" w:eastAsia="宋体" w:cs="宋体"/>
          <w:b w:val="0"/>
          <w:sz w:val="24"/>
          <w:highlight w:val="none"/>
        </w:rPr>
      </w:pPr>
      <w:r>
        <w:rPr>
          <w:rFonts w:hint="eastAsia" w:ascii="宋体" w:hAnsi="宋体" w:eastAsia="宋体" w:cs="宋体"/>
          <w:b w:val="0"/>
          <w:sz w:val="24"/>
          <w:highlight w:val="none"/>
        </w:rPr>
        <w:t xml:space="preserve">考核从运行与日常维护、检修、年度维护、质量控制、有效数据量、记录完整性等几个方面进行判定，由采购人根据工作需要进行抽查，考核方法详见下表：</w:t>
      </w:r>
      <w:r/>
    </w:p>
    <w:p>
      <w:pPr>
        <w:pStyle w:val="808"/>
        <w:jc w:val="center"/>
        <w:spacing w:before="361" w:after="181"/>
        <w:rPr>
          <w:rFonts w:hint="eastAsia" w:ascii="宋体" w:hAnsi="宋体" w:eastAsia="宋体" w:cs="宋体"/>
          <w:szCs w:val="32"/>
          <w:highlight w:val="none"/>
        </w:rPr>
      </w:pPr>
      <w:r>
        <w:rPr>
          <w:rStyle w:val="1111"/>
          <w:rFonts w:hint="eastAsia" w:ascii="宋体" w:hAnsi="宋体" w:eastAsia="宋体" w:cs="宋体"/>
          <w:color w:val="auto"/>
          <w:sz w:val="32"/>
          <w:szCs w:val="32"/>
          <w:highlight w:val="none"/>
        </w:rPr>
        <w:t xml:space="preserve">表1 宿迁市市控水质自动监测站月度运维情况考核表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2023"/>
        <w:gridCol w:w="2551"/>
        <w:gridCol w:w="1559"/>
        <w:gridCol w:w="1763"/>
      </w:tblGrid>
      <w:tr>
        <w:trPr>
          <w:jc w:val="center"/>
          <w:trHeight w:val="593"/>
        </w:trPr>
        <w:tc>
          <w:tcPr>
            <w:gridSpan w:val="2"/>
            <w:tcW w:w="3187"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考核内容</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考核要求</w:t>
            </w:r>
            <w:r/>
          </w:p>
        </w:tc>
        <w:tc>
          <w:tcPr>
            <w:tcW w:w="1559" w:type="dxa"/>
            <w:vAlign w:val="center"/>
            <w:textDirection w:val="lrTb"/>
            <w:noWrap w:val="false"/>
          </w:tcPr>
          <w:p>
            <w:pPr>
              <w:pStyle w:val="808"/>
              <w:ind w:firstLine="80"/>
              <w:jc w:val="center"/>
              <w:widowControl w:val="off"/>
              <w:rPr>
                <w:rFonts w:hint="eastAsia" w:ascii="宋体" w:hAnsi="宋体" w:eastAsia="宋体" w:cs="宋体"/>
                <w:b w:val="0"/>
                <w:bCs/>
                <w:spacing w:val="-10"/>
                <w:sz w:val="24"/>
                <w:szCs w:val="22"/>
                <w:highlight w:val="none"/>
              </w:rPr>
            </w:pPr>
            <w:r>
              <w:rPr>
                <w:rFonts w:hint="eastAsia" w:ascii="宋体" w:hAnsi="宋体" w:eastAsia="宋体" w:cs="宋体"/>
                <w:b w:val="0"/>
                <w:bCs/>
                <w:spacing w:val="-10"/>
                <w:sz w:val="24"/>
                <w:szCs w:val="22"/>
                <w:highlight w:val="none"/>
              </w:rPr>
              <w:t xml:space="preserve">不符合要求一次</w:t>
            </w:r>
            <w:r>
              <w:rPr>
                <w:rFonts w:hint="eastAsia" w:ascii="宋体" w:hAnsi="宋体" w:eastAsia="宋体" w:cs="宋体"/>
                <w:b w:val="0"/>
                <w:bCs/>
                <w:spacing w:val="-10"/>
                <w:sz w:val="24"/>
                <w:szCs w:val="22"/>
                <w:highlight w:val="none"/>
                <w:lang w:val="en-US" w:eastAsia="zh-CN"/>
              </w:rPr>
              <w:t xml:space="preserve">扣款</w:t>
            </w:r>
            <w:r>
              <w:rPr>
                <w:rFonts w:hint="eastAsia" w:ascii="宋体" w:hAnsi="宋体" w:eastAsia="宋体" w:cs="宋体"/>
                <w:b w:val="0"/>
                <w:bCs/>
                <w:spacing w:val="-10"/>
                <w:sz w:val="24"/>
                <w:szCs w:val="22"/>
                <w:highlight w:val="none"/>
              </w:rPr>
              <w:t xml:space="preserve">金额（元）</w:t>
            </w:r>
            <w:r/>
          </w:p>
        </w:tc>
        <w:tc>
          <w:tcPr>
            <w:tcW w:w="1763" w:type="dxa"/>
            <w:vAlign w:val="center"/>
            <w:textDirection w:val="lrTb"/>
            <w:noWrap w:val="false"/>
          </w:tcPr>
          <w:p>
            <w:pPr>
              <w:pStyle w:val="808"/>
              <w:jc w:val="center"/>
              <w:widowControl w:val="off"/>
              <w:rPr>
                <w:rFonts w:hint="eastAsia" w:ascii="宋体" w:hAnsi="宋体" w:eastAsia="宋体" w:cs="宋体"/>
                <w:b w:val="0"/>
                <w:bCs/>
                <w:spacing w:val="-10"/>
                <w:sz w:val="24"/>
                <w:szCs w:val="22"/>
                <w:highlight w:val="none"/>
              </w:rPr>
            </w:pPr>
            <w:r>
              <w:rPr>
                <w:rFonts w:hint="eastAsia" w:ascii="宋体" w:hAnsi="宋体" w:eastAsia="宋体" w:cs="宋体"/>
                <w:b w:val="0"/>
                <w:bCs/>
                <w:spacing w:val="-10"/>
                <w:sz w:val="24"/>
                <w:szCs w:val="22"/>
                <w:highlight w:val="none"/>
              </w:rPr>
              <w:t xml:space="preserve">不符合要求造成数据异常或缺失</w:t>
            </w:r>
            <w:r>
              <w:rPr>
                <w:rFonts w:hint="eastAsia" w:ascii="宋体" w:hAnsi="宋体" w:eastAsia="宋体" w:cs="宋体"/>
                <w:b w:val="0"/>
                <w:bCs/>
                <w:spacing w:val="-10"/>
                <w:sz w:val="24"/>
                <w:szCs w:val="22"/>
                <w:highlight w:val="none"/>
                <w:lang w:val="en-US" w:eastAsia="zh-CN"/>
              </w:rPr>
              <w:t xml:space="preserve">扣款</w:t>
            </w:r>
            <w:r>
              <w:rPr>
                <w:rFonts w:hint="eastAsia" w:ascii="宋体" w:hAnsi="宋体" w:eastAsia="宋体" w:cs="宋体"/>
                <w:b w:val="0"/>
                <w:bCs/>
                <w:spacing w:val="-10"/>
                <w:sz w:val="24"/>
                <w:szCs w:val="22"/>
                <w:highlight w:val="none"/>
              </w:rPr>
              <w:t xml:space="preserve">金额（元）</w:t>
            </w:r>
            <w:r/>
          </w:p>
        </w:tc>
      </w:tr>
      <w:tr>
        <w:trPr>
          <w:jc w:val="center"/>
          <w:trHeight w:val="968"/>
        </w:trPr>
        <w:tc>
          <w:tcPr>
            <w:tcW w:w="1164" w:type="dxa"/>
            <w:vAlign w:val="center"/>
            <w:vMerge w:val="restart"/>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日常运行与维护</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见磋商文件“水质自动监测站运行维护要求”</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按“水质自动监测站运行维护要求”要求完成各项运行维护工作</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200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400</w:t>
            </w:r>
            <w:r/>
          </w:p>
        </w:tc>
      </w:tr>
      <w:tr>
        <w:trPr>
          <w:jc w:val="center"/>
          <w:trHeight w:val="968"/>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更换仪器所需备品备件</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备品备件必须为原厂提供</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原厂备品备件价格</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原厂备品备件双倍价格</w:t>
            </w:r>
            <w:r/>
          </w:p>
        </w:tc>
      </w:tr>
      <w:tr>
        <w:trPr>
          <w:jc w:val="center"/>
          <w:trHeight w:val="1140"/>
        </w:trPr>
        <w:tc>
          <w:tcPr>
            <w:tcW w:w="1164"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站房及基础保障运维</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见磋商文件“站房及基础保障运维要求”</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按“站房及基础保障运维要求”要求完成各项运行维护工作</w:t>
            </w:r>
            <w:r/>
          </w:p>
        </w:tc>
        <w:tc>
          <w:tcPr>
            <w:tcW w:w="1559" w:type="dxa"/>
            <w:vAlign w:val="center"/>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500</w:t>
            </w:r>
            <w:r/>
          </w:p>
        </w:tc>
        <w:tc>
          <w:tcPr>
            <w:tcW w:w="1763" w:type="dxa"/>
            <w:vAlign w:val="center"/>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1000</w:t>
            </w:r>
            <w:r/>
          </w:p>
        </w:tc>
      </w:tr>
      <w:tr>
        <w:trPr>
          <w:jc w:val="center"/>
          <w:trHeight w:val="1060"/>
        </w:trPr>
        <w:tc>
          <w:tcPr>
            <w:tcW w:w="1164"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自动监控中心站运维</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见磋商文件“自动监控中心站运维要求”</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按“自动监控中心站运维要求”要求完成各项运行维护工作</w:t>
            </w:r>
            <w:r/>
          </w:p>
        </w:tc>
        <w:tc>
          <w:tcPr>
            <w:tcW w:w="1559" w:type="dxa"/>
            <w:vAlign w:val="center"/>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500</w:t>
            </w:r>
            <w:r/>
          </w:p>
        </w:tc>
        <w:tc>
          <w:tcPr>
            <w:tcW w:w="1763" w:type="dxa"/>
            <w:vAlign w:val="center"/>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1000</w:t>
            </w:r>
            <w:r/>
          </w:p>
        </w:tc>
      </w:tr>
      <w:tr>
        <w:trPr>
          <w:jc w:val="center"/>
          <w:trHeight w:val="1143"/>
        </w:trPr>
        <w:tc>
          <w:tcPr>
            <w:tcW w:w="1164" w:type="dxa"/>
            <w:vAlign w:val="center"/>
            <w:vMerge w:val="restart"/>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质量控制</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质控样试验</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不定期进行质控样试验，测定的相对误差不大于标准值的±10％</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139"/>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实际水样比对实验</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pacing w:val="-10"/>
                <w:sz w:val="24"/>
                <w:szCs w:val="22"/>
                <w:highlight w:val="none"/>
              </w:rPr>
              <w:t xml:space="preserve">不定期进行实际水样比对实验，测定的相对误差在±20%范围以内</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765"/>
        </w:trPr>
        <w:tc>
          <w:tcPr>
            <w:tcW w:w="1164"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有效数据量</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月有效数据累计捕捉率</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≥95％</w:t>
            </w:r>
            <w:r/>
          </w:p>
        </w:tc>
        <w:tc>
          <w:tcPr>
            <w:tcW w:w="1559" w:type="dxa"/>
            <w:vAlign w:val="center"/>
            <w:textDirection w:val="lrTb"/>
            <w:noWrap w:val="false"/>
          </w:tcPr>
          <w:p>
            <w:pPr>
              <w:pStyle w:val="808"/>
              <w:ind w:left="-103"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1000+a(90-捕捉率×100)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284"/>
        </w:trPr>
        <w:tc>
          <w:tcPr>
            <w:tcW w:w="1164" w:type="dxa"/>
            <w:vAlign w:val="center"/>
            <w:vMerge w:val="restart"/>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w:t>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巡检记录</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记录清晰、完整</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219"/>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维修记录</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记录清晰、完整</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139"/>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年度维护记录</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记录清晰、完整</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r>
        <w:trPr>
          <w:jc w:val="center"/>
          <w:trHeight w:val="139"/>
        </w:trPr>
        <w:tc>
          <w:tcPr>
            <w:tcW w:w="1164" w:type="dxa"/>
            <w:vAlign w:val="center"/>
            <w:vMerge w:val="continue"/>
            <w:textDirection w:val="lrTb"/>
            <w:noWrap w:val="false"/>
          </w:tcPr>
          <w:p>
            <w:pPr>
              <w:pStyle w:val="808"/>
              <w:ind w:firstLine="90"/>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r>
            <w:r/>
          </w:p>
        </w:tc>
        <w:tc>
          <w:tcPr>
            <w:tcW w:w="202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质控考核记录</w:t>
            </w:r>
            <w:r/>
          </w:p>
        </w:tc>
        <w:tc>
          <w:tcPr>
            <w:tcW w:w="2551"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记录清晰、完整</w:t>
            </w:r>
            <w:r/>
          </w:p>
        </w:tc>
        <w:tc>
          <w:tcPr>
            <w:tcW w:w="1559"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50</w:t>
            </w:r>
            <w:r/>
          </w:p>
        </w:tc>
        <w:tc>
          <w:tcPr>
            <w:tcW w:w="1763" w:type="dxa"/>
            <w:vAlign w:val="center"/>
            <w:textDirection w:val="lrTb"/>
            <w:noWrap w:val="false"/>
          </w:tcPr>
          <w:p>
            <w:pPr>
              <w:pStyle w:val="808"/>
              <w:jc w:val="center"/>
              <w:widowControl w:val="off"/>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w:t>
            </w:r>
            <w:r/>
          </w:p>
        </w:tc>
      </w:tr>
    </w:tbl>
    <w:p>
      <w:pPr>
        <w:pStyle w:val="1100"/>
        <w:ind w:firstLine="4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备注：当有效率70％至95％时a值为100元。当捕捉率小于70％时a值为300元。</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）一旦发现虚假数据，采购人有权终止合同，并按需支付费用的双倍进行经济</w:t>
      </w:r>
      <w:r>
        <w:rPr>
          <w:rFonts w:hint="eastAsia" w:ascii="宋体" w:hAnsi="宋体" w:cs="宋体"/>
          <w:sz w:val="24"/>
          <w:szCs w:val="24"/>
          <w:highlight w:val="none"/>
          <w:lang w:val="en-US" w:eastAsia="zh-CN"/>
        </w:rPr>
        <w:t xml:space="preserve">扣款</w:t>
      </w:r>
      <w:r>
        <w:rPr>
          <w:rFonts w:hint="eastAsia" w:ascii="宋体" w:hAnsi="宋体" w:cs="宋体"/>
          <w:sz w:val="24"/>
          <w:szCs w:val="24"/>
          <w:highlight w:val="none"/>
        </w:rPr>
        <w:t xml:space="preserve">。如果成交人运维人员或队伍发生重大变更，无法按</w:t>
      </w:r>
      <w:r>
        <w:rPr>
          <w:rFonts w:hint="eastAsia" w:ascii="宋体" w:hAnsi="宋体" w:cs="宋体"/>
          <w:sz w:val="24"/>
          <w:szCs w:val="24"/>
          <w:highlight w:val="none"/>
          <w:lang w:val="en-US" w:eastAsia="zh-CN"/>
        </w:rPr>
        <w:t xml:space="preserve">时</w:t>
      </w:r>
      <w:r>
        <w:rPr>
          <w:rFonts w:hint="eastAsia" w:ascii="宋体" w:hAnsi="宋体" w:cs="宋体"/>
          <w:sz w:val="24"/>
          <w:szCs w:val="24"/>
          <w:highlight w:val="none"/>
        </w:rPr>
        <w:t xml:space="preserve">开展运维工作，或者发生重大责任事故的，采购人有权提前取消运营合同。</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）成交人承诺在合同签订后两周内建立备件库提供备机，并建立实验室或者与第三方实验室签订合同；一旦发现在承诺期结束后未建立的，采购人有权终止合同，并按需支付费用的双倍进行经济</w:t>
      </w:r>
      <w:r>
        <w:rPr>
          <w:rFonts w:hint="eastAsia" w:ascii="宋体" w:hAnsi="宋体" w:cs="宋体"/>
          <w:sz w:val="24"/>
          <w:szCs w:val="24"/>
          <w:highlight w:val="none"/>
          <w:lang w:val="en-US" w:eastAsia="zh-CN"/>
        </w:rPr>
        <w:t xml:space="preserve">扣款</w:t>
      </w:r>
      <w:r>
        <w:rPr>
          <w:rFonts w:hint="eastAsia" w:ascii="宋体" w:hAnsi="宋体" w:cs="宋体"/>
          <w:sz w:val="24"/>
          <w:szCs w:val="24"/>
          <w:highlight w:val="none"/>
        </w:rPr>
        <w:t xml:space="preserve">。</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8、应急措施要求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（1）突发污染事故要求</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当水站监测数据发现异常或发现所在断面发生污染事故时，须2小时内报告采购人，并保证系统仪器正常运行，监测数据准确，传输畅通，并协助托管站进行手工监测。</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（2）系统仪器故障</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当系统仪器出现故障（包括停运）时，保证在2小时内到达现场检修，如24小时内无法排除故障，导致水站主要监测指标无法连续监测时，须通过更换备机（从故障时算起48小时内完成）或委托有资质的检测机构进行检测以确保数据的完整性，实验室检测数据不少于每周两组（不得为同一天监测），所需费用由成交人负责。并及时用电话与书面形式报告采购人，协商处理方案。备机备件更换后须及时维修并保证修复后及时更换</w:t>
      </w:r>
      <w:r>
        <w:rPr>
          <w:rFonts w:hint="eastAsia" w:ascii="宋体" w:hAnsi="宋体" w:cs="宋体"/>
          <w:sz w:val="24"/>
          <w:szCs w:val="24"/>
          <w:highlight w:val="none"/>
          <w:lang w:val="en-US" w:eastAsia="zh-CN"/>
        </w:rPr>
        <w:t xml:space="preserve">回</w:t>
      </w:r>
      <w:r>
        <w:rPr>
          <w:rFonts w:hint="eastAsia" w:ascii="宋体" w:hAnsi="宋体" w:cs="宋体"/>
          <w:sz w:val="24"/>
          <w:szCs w:val="24"/>
          <w:highlight w:val="none"/>
        </w:rPr>
        <w:t xml:space="preserve">原位置，保证正常使用。</w:t>
      </w:r>
      <w:r/>
    </w:p>
    <w:p>
      <w:pPr>
        <w:pStyle w:val="1100"/>
        <w:ind w:firstLine="420"/>
        <w:spacing w:line="500" w:lineRule="exac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（四）运维工作执行标准</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1、《水污染物排放总量监测技术规范》</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2、《水和废水监测分析方法》（第四版）</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3、《环境水质监测质量保证手册》</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highlight w:val="none"/>
        </w:rPr>
        <w:fldChar w:fldCharType="begin"/>
      </w:r>
      <w:r>
        <w:rPr>
          <w:highlight w:val="none"/>
        </w:rPr>
        <w:instrText xml:space="preserve"> HYPERLINK "http://www.sepa.gov.cn/image20010518/1782.pdf" </w:instrText>
      </w:r>
      <w:r>
        <w:rPr>
          <w:highlight w:val="none"/>
        </w:rPr>
        <w:fldChar w:fldCharType="separate"/>
      </w:r>
      <w:r>
        <w:rPr>
          <w:rFonts w:hint="eastAsia" w:ascii="宋体" w:hAnsi="宋体" w:cs="宋体"/>
          <w:sz w:val="24"/>
          <w:szCs w:val="24"/>
          <w:highlight w:val="none"/>
        </w:rPr>
        <w:t xml:space="preserve">地表水和污水监测技术规范》（</w:t>
      </w:r>
      <w:r>
        <w:rPr>
          <w:rFonts w:hint="eastAsia" w:ascii="宋体" w:hAnsi="宋体" w:cs="宋体"/>
          <w:sz w:val="24"/>
          <w:szCs w:val="24"/>
          <w:highlight w:val="none"/>
        </w:rPr>
        <w:fldChar w:fldCharType="end"/>
      </w:r>
      <w:r>
        <w:rPr>
          <w:highlight w:val="none"/>
        </w:rPr>
        <w:fldChar w:fldCharType="begin"/>
      </w:r>
      <w:r>
        <w:rPr>
          <w:highlight w:val="none"/>
        </w:rPr>
        <w:instrText xml:space="preserve"> HYPERLINK "http://www.sepa.gov.cn/image20010518/1782.pdf" </w:instrText>
      </w:r>
      <w:r>
        <w:rPr>
          <w:highlight w:val="none"/>
        </w:rPr>
        <w:fldChar w:fldCharType="separate"/>
      </w:r>
      <w:r>
        <w:rPr>
          <w:rFonts w:hint="eastAsia" w:ascii="宋体" w:hAnsi="宋体" w:cs="宋体"/>
          <w:sz w:val="24"/>
          <w:szCs w:val="24"/>
          <w:highlight w:val="none"/>
        </w:rPr>
        <w:t xml:space="preserve">HJ/T91-2002 </w:t>
      </w:r>
      <w:r>
        <w:rPr>
          <w:rFonts w:hint="eastAsia" w:ascii="宋体" w:hAnsi="宋体" w:cs="宋体"/>
          <w:sz w:val="24"/>
          <w:szCs w:val="24"/>
          <w:highlight w:val="none"/>
        </w:rPr>
        <w:fldChar w:fldCharType="end"/>
      </w:r>
      <w:r>
        <w:rPr>
          <w:highlight w:val="none"/>
        </w:rPr>
        <w:fldChar w:fldCharType="begin"/>
      </w:r>
      <w:r>
        <w:rPr>
          <w:highlight w:val="none"/>
        </w:rPr>
        <w:instrText xml:space="preserve"> HYPERLINK "http://www.sepa.gov.cn/image20010518/1782.pdf" </w:instrText>
      </w:r>
      <w:r>
        <w:rPr>
          <w:highlight w:val="none"/>
        </w:rPr>
        <w:fldChar w:fldCharType="separate"/>
      </w:r>
      <w:r>
        <w:rPr>
          <w:rFonts w:hint="eastAsia" w:ascii="宋体" w:hAnsi="宋体" w:cs="宋体"/>
          <w:sz w:val="24"/>
          <w:szCs w:val="24"/>
          <w:highlight w:val="none"/>
        </w:rPr>
        <w:t xml:space="preserve">）</w:t>
      </w:r>
      <w:r>
        <w:rPr>
          <w:rFonts w:hint="eastAsia" w:ascii="宋体" w:hAnsi="宋体" w:cs="宋体"/>
          <w:sz w:val="24"/>
          <w:szCs w:val="24"/>
          <w:highlight w:val="none"/>
        </w:rPr>
        <w:fldChar w:fldCharType="end"/>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5、《水质河流采样技术指导》（HJ/T52-1999）</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6、《高锰酸盐指数水质自动分析仪技术要求》（HJ/T100-2003）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7、《氨氮水质在线自动监测仪技术要求及检测方法》（HJ 101-2019）</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8、《总氮水质自动分析仪技术要求》（HJ/T 102-2003）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9、《总磷水质自动分析仪技术要求》（HJ/T 103-2003）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10、《pH水质自动分析仪技术要求》（HJ/T96-2003）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11、《电导率水质自动分析仪技术要求》（HJ/T97-2003）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12、《浊度水质自动分析仪技术要求》（HJ/T98-2003）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13、《溶解氧（DO）水质自动分析仪技术要求》（HJ/T99-2003）</w:t>
      </w:r>
      <w:r/>
    </w:p>
    <w:p>
      <w:pPr>
        <w:pStyle w:val="1100"/>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14、《国家地表水水质自动监测站运行维护管理实施细则（试行）》</w:t>
      </w:r>
      <w:r/>
    </w:p>
    <w:p>
      <w:pPr>
        <w:pStyle w:val="1100"/>
        <w:ind w:firstLine="420"/>
        <w:spacing w:line="500" w:lineRule="exact"/>
        <w:rPr>
          <w:rFonts w:ascii="宋体" w:hAnsi="宋体" w:cs="宋体"/>
          <w:sz w:val="24"/>
          <w:szCs w:val="24"/>
          <w:highlight w:val="none"/>
        </w:rPr>
      </w:pPr>
      <w:r>
        <w:rPr>
          <w:rFonts w:hint="eastAsia" w:ascii="宋体" w:hAnsi="宋体" w:cs="宋体"/>
          <w:sz w:val="24"/>
          <w:szCs w:val="24"/>
          <w:highlight w:val="none"/>
        </w:rPr>
        <w:t xml:space="preserve">15、《环境水质（地表水）自动监测站运行维护技术规范》（DB32/T 4536-2023）</w:t>
      </w:r>
      <w:r/>
    </w:p>
    <w:p>
      <w:pPr>
        <w:pStyle w:val="1112"/>
        <w:ind w:firstLine="482"/>
        <w:spacing w:line="400" w:lineRule="exact"/>
        <w:rPr>
          <w:rFonts w:hint="eastAsia" w:ascii="宋体" w:hAnsi="宋体" w:cs="宋体"/>
          <w:b/>
          <w:bCs/>
          <w:sz w:val="24"/>
          <w:szCs w:val="24"/>
          <w:highlight w:val="none"/>
        </w:rPr>
      </w:pPr>
      <w:r/>
      <w:bookmarkStart w:id="81" w:name="_Toc28687"/>
      <w:r>
        <w:rPr>
          <w:rFonts w:hint="eastAsia" w:ascii="宋体" w:hAnsi="宋体" w:cs="宋体"/>
          <w:b/>
          <w:bCs/>
          <w:sz w:val="24"/>
          <w:szCs w:val="24"/>
          <w:highlight w:val="none"/>
        </w:rPr>
        <w:t xml:space="preserve">注：本项目执行但不限于以上标准、规范，与本项目相关的国家、省、市的文件、政策等须按最新文件执行。</w:t>
      </w:r>
      <w:bookmarkEnd w:id="81"/>
      <w:r/>
      <w:r/>
    </w:p>
    <w:p>
      <w:pPr>
        <w:pStyle w:val="1110"/>
        <w:ind w:firstLine="562"/>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五、安全责任要求</w:t>
      </w:r>
      <w:r/>
    </w:p>
    <w:p>
      <w:pPr>
        <w:ind w:firstLine="562"/>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成交供应商</w:t>
      </w:r>
      <w:r>
        <w:rPr>
          <w:rFonts w:hint="eastAsia" w:ascii="宋体" w:hAnsi="宋体" w:cs="宋体"/>
          <w:bCs/>
          <w:sz w:val="24"/>
          <w:szCs w:val="24"/>
          <w:highlight w:val="none"/>
        </w:rPr>
        <w:t xml:space="preserve">所派驻的人员在项目实施全过程中应严格按照国家或行业最新安全标准及规范要求实施操作，采取必要的安全防护措施，消除事故隐患，自行负责交通安全。在项目实施过程中，应注意各项操作安全，不违规操作。如未进行必要的安全防护或违规操作等，</w:t>
      </w:r>
      <w:r>
        <w:rPr>
          <w:rFonts w:hint="eastAsia" w:ascii="宋体" w:hAnsi="宋体" w:cs="宋体"/>
          <w:bCs/>
          <w:sz w:val="24"/>
          <w:szCs w:val="24"/>
          <w:highlight w:val="none"/>
          <w:lang w:val="en-US" w:eastAsia="zh-CN"/>
        </w:rPr>
        <w:t xml:space="preserve">成交供应商</w:t>
      </w:r>
      <w:r>
        <w:rPr>
          <w:rFonts w:hint="eastAsia" w:ascii="宋体" w:hAnsi="宋体" w:cs="宋体"/>
          <w:bCs/>
          <w:sz w:val="24"/>
          <w:szCs w:val="24"/>
          <w:highlight w:val="none"/>
        </w:rPr>
        <w:t xml:space="preserve">应承担由此引起的一切后果与责任。</w:t>
      </w:r>
      <w:r/>
    </w:p>
    <w:p>
      <w:pPr>
        <w:ind w:firstLine="562"/>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六、项目实施要求</w:t>
      </w:r>
      <w:r/>
    </w:p>
    <w:p>
      <w:pPr>
        <w:pStyle w:val="807"/>
        <w:ind w:firstLine="480"/>
        <w:spacing w:line="500" w:lineRule="exact"/>
        <w:rPr>
          <w:rFonts w:hint="eastAsia" w:hAnsi="宋体" w:eastAsia="宋体" w:cs="宋体"/>
          <w:b w:val="0"/>
          <w:bCs w:val="0"/>
          <w:sz w:val="24"/>
          <w:szCs w:val="24"/>
          <w:highlight w:val="none"/>
        </w:rPr>
      </w:pPr>
      <w:r>
        <w:rPr>
          <w:rFonts w:hint="eastAsia" w:hAnsi="宋体" w:eastAsia="宋体" w:cs="宋体"/>
          <w:b w:val="0"/>
          <w:bCs w:val="0"/>
          <w:sz w:val="24"/>
          <w:szCs w:val="24"/>
          <w:highlight w:val="none"/>
        </w:rPr>
        <w:t xml:space="preserve">1、项目实施方案：供应商针对本项目特点</w:t>
      </w:r>
      <w:r>
        <w:rPr>
          <w:rFonts w:hint="eastAsia" w:hAnsi="宋体" w:eastAsia="宋体" w:cs="宋体"/>
          <w:b w:val="0"/>
          <w:bCs w:val="0"/>
          <w:sz w:val="24"/>
          <w:szCs w:val="24"/>
          <w:highlight w:val="none"/>
          <w:lang w:val="en-US" w:eastAsia="zh-CN"/>
        </w:rPr>
        <w:t xml:space="preserve">制定</w:t>
      </w:r>
      <w:r>
        <w:rPr>
          <w:rFonts w:hint="eastAsia" w:hAnsi="宋体" w:eastAsia="宋体" w:cs="宋体"/>
          <w:b w:val="0"/>
          <w:bCs w:val="0"/>
          <w:sz w:val="24"/>
          <w:szCs w:val="24"/>
          <w:highlight w:val="none"/>
        </w:rPr>
        <w:t xml:space="preserve">详细科学的项目实施方案，方案应重点包含以下内容：阐明建立常设的运行维护机构情况或计划、担任运行维护团队负责人及主要人员情况（含专业）运营接收、移交计划、设备维护日常管理制度、质量控制制度、保障措施、服务承诺等。</w:t>
      </w:r>
      <w:r/>
    </w:p>
    <w:p>
      <w:pPr>
        <w:pStyle w:val="807"/>
        <w:ind w:firstLine="480"/>
        <w:spacing w:line="500" w:lineRule="exact"/>
        <w:rPr>
          <w:rFonts w:hint="eastAsia" w:hAnsi="宋体" w:eastAsia="宋体" w:cs="宋体"/>
          <w:b w:val="0"/>
          <w:bCs w:val="0"/>
          <w:sz w:val="24"/>
          <w:szCs w:val="24"/>
          <w:highlight w:val="none"/>
        </w:rPr>
      </w:pPr>
      <w:r>
        <w:rPr>
          <w:rFonts w:hint="eastAsia" w:hAnsi="宋体" w:eastAsia="宋体" w:cs="宋体"/>
          <w:b w:val="0"/>
          <w:bCs w:val="0"/>
          <w:sz w:val="24"/>
          <w:szCs w:val="24"/>
          <w:highlight w:val="none"/>
        </w:rPr>
        <w:t xml:space="preserve">2、运维工作信息化管理：供应商针对本水质监测站的运维工作提供切实可行的运维信息化管理方案与软件，包括运维手机APP等内容。</w:t>
      </w:r>
      <w:r/>
    </w:p>
    <w:p>
      <w:pPr>
        <w:pStyle w:val="807"/>
        <w:ind w:firstLine="480"/>
        <w:spacing w:line="500" w:lineRule="exact"/>
        <w:rPr>
          <w:rFonts w:hint="eastAsia" w:hAnsi="宋体" w:eastAsia="宋体" w:cs="宋体"/>
          <w:b w:val="0"/>
          <w:bCs w:val="0"/>
          <w:sz w:val="24"/>
          <w:szCs w:val="24"/>
          <w:highlight w:val="none"/>
        </w:rPr>
      </w:pPr>
      <w:r>
        <w:rPr>
          <w:rFonts w:hint="eastAsia" w:hAnsi="宋体" w:eastAsia="宋体" w:cs="宋体"/>
          <w:b w:val="0"/>
          <w:bCs w:val="0"/>
          <w:sz w:val="24"/>
          <w:szCs w:val="24"/>
          <w:highlight w:val="none"/>
        </w:rPr>
        <w:t xml:space="preserve">3、运维培训方案、安全生产培训方案及应急预案：供应商提供的培训方案及应急预案，应合理、完整，有详细的培训计划安排表，培训工作有针对性、目标明确，考核方案操作性强，培训授课人员专业、有一定的项目经验，突发情况及应急处理预案完整。</w:t>
      </w:r>
      <w:r/>
    </w:p>
    <w:p>
      <w:pPr>
        <w:pStyle w:val="807"/>
        <w:ind w:firstLine="480"/>
        <w:spacing w:line="500" w:lineRule="exact"/>
        <w:widowControl w:val="off"/>
        <w:rPr>
          <w:rFonts w:hint="eastAsia" w:hAnsi="宋体" w:eastAsia="宋体" w:cs="宋体"/>
          <w:b w:val="0"/>
          <w:bCs w:val="0"/>
          <w:sz w:val="24"/>
          <w:szCs w:val="24"/>
          <w:highlight w:val="none"/>
        </w:rPr>
      </w:pPr>
      <w:r>
        <w:rPr>
          <w:rFonts w:hint="eastAsia" w:hAnsi="宋体" w:eastAsia="宋体" w:cs="宋体"/>
          <w:b w:val="0"/>
          <w:bCs w:val="0"/>
          <w:sz w:val="24"/>
          <w:szCs w:val="24"/>
          <w:highlight w:val="none"/>
        </w:rPr>
        <w:t xml:space="preserve">4、本项目团队人员数量至少为7人,且项目组成员需按照响应文件承诺的人员配备，未经采购人同意不得擅自更换，否则需按照违约向采购人支付违约金。</w:t>
      </w:r>
      <w:r/>
    </w:p>
    <w:p>
      <w:pPr>
        <w:pStyle w:val="807"/>
        <w:ind w:firstLine="480"/>
        <w:spacing w:line="500" w:lineRule="exact"/>
        <w:widowControl w:val="off"/>
        <w:rPr>
          <w:rFonts w:hint="eastAsia" w:eastAsia="宋体"/>
          <w:lang w:val="en-US" w:eastAsia="zh-CN"/>
        </w:rPr>
      </w:pPr>
      <w:r>
        <w:rPr>
          <w:rFonts w:hint="eastAsia" w:hAnsi="宋体" w:eastAsia="宋体" w:cs="宋体"/>
          <w:b w:val="0"/>
          <w:bCs w:val="0"/>
          <w:sz w:val="24"/>
          <w:szCs w:val="24"/>
          <w:highlight w:val="none"/>
        </w:rPr>
        <w:t xml:space="preserve">5、安全责任：成交人所派出的所有人员在项目实施全过程中应严格按照国家或行业最新安全标准及规范要求实施操作，采取必要的安全防护措施，消除事故隐患，自行负责交通安全。在项目实施过程中，应注意各项操作安全，不违规操作。如未进行必要的安全防护或违规操作等，成交人应承担由此引起的一切后果与责任。</w:t>
      </w:r>
      <w:r/>
    </w:p>
    <w:p>
      <w:pPr>
        <w:ind w:firstLine="562"/>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七、项目</w:t>
      </w:r>
      <w:r>
        <w:rPr>
          <w:rFonts w:hint="eastAsia" w:ascii="宋体" w:hAnsi="宋体" w:cs="宋体"/>
          <w:b/>
          <w:sz w:val="28"/>
          <w:szCs w:val="28"/>
          <w:highlight w:val="none"/>
          <w:lang w:val="en-US" w:eastAsia="zh-CN"/>
        </w:rPr>
        <w:t xml:space="preserve">基本</w:t>
      </w:r>
      <w:r>
        <w:rPr>
          <w:rFonts w:hint="eastAsia" w:ascii="宋体" w:hAnsi="宋体" w:cs="宋体"/>
          <w:b/>
          <w:sz w:val="28"/>
          <w:szCs w:val="28"/>
          <w:highlight w:val="none"/>
        </w:rPr>
        <w:t xml:space="preserve">要求</w:t>
      </w:r>
      <w:r/>
    </w:p>
    <w:p>
      <w:pPr>
        <w:ind w:firstLine="480"/>
        <w:spacing w:line="50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1、服务时间：</w:t>
      </w:r>
      <w:r>
        <w:rPr>
          <w:rFonts w:hint="eastAsia" w:ascii="宋体" w:hAnsi="宋体" w:cs="宋体"/>
          <w:color w:val="auto"/>
          <w:sz w:val="24"/>
          <w:highlight w:val="none"/>
          <w:lang w:val="zh-CN"/>
        </w:rPr>
        <w:t xml:space="preserve">自合同签订日起至2026年12月31日。（</w:t>
      </w:r>
      <w:r>
        <w:rPr>
          <w:rFonts w:hint="eastAsia" w:ascii="宋体" w:hAnsi="宋体" w:cs="宋体"/>
          <w:color w:val="auto"/>
          <w:sz w:val="24"/>
          <w:highlight w:val="none"/>
          <w:lang w:val="en-US" w:eastAsia="zh-CN"/>
        </w:rPr>
        <w:t xml:space="preserve">本合同服务期满，若新合同未签订产生空档期，可经甲乙双方协商签订补充合同，乙方应按原合同标准继续提供运维服务，运维服务费按原合同约定标准，以实际超出原合同的服务天数据实结算，该空档期的服务费总额将控制在原合同采购金额的10%以内，符合《中华人民共和国政府采购法》关于追加采购金额的规定。）</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2、实施地点：采购人指定地点。</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3、付款方式：</w:t>
      </w:r>
      <w:r/>
    </w:p>
    <w:p>
      <w:pPr>
        <w:ind w:firstLine="482"/>
        <w:spacing w:line="500" w:lineRule="exact"/>
        <w:rPr>
          <w:rFonts w:hint="eastAsia" w:ascii="宋体" w:hAnsi="宋体" w:cs="宋体"/>
          <w:b/>
          <w:sz w:val="24"/>
          <w:highlight w:val="none"/>
        </w:rPr>
      </w:pPr>
      <w:r>
        <w:rPr>
          <w:rFonts w:hint="eastAsia" w:ascii="宋体" w:hAnsi="宋体" w:cs="宋体"/>
          <w:b/>
          <w:sz w:val="24"/>
          <w:highlight w:val="none"/>
        </w:rPr>
        <w:t xml:space="preserve">对于满足合同约定支付条件的，自收到发票后</w:t>
      </w:r>
      <w:r>
        <w:rPr>
          <w:rFonts w:hint="eastAsia" w:ascii="宋体" w:hAnsi="宋体" w:cs="宋体"/>
          <w:b/>
          <w:sz w:val="24"/>
          <w:highlight w:val="none"/>
          <w:lang w:val="en-US" w:eastAsia="zh-CN"/>
        </w:rPr>
        <w:t xml:space="preserve">10个工作日</w:t>
      </w:r>
      <w:r>
        <w:rPr>
          <w:rFonts w:hint="eastAsia" w:ascii="宋体" w:hAnsi="宋体" w:cs="宋体"/>
          <w:b/>
          <w:sz w:val="24"/>
          <w:highlight w:val="none"/>
        </w:rPr>
        <w:t xml:space="preserve">内将资金支付到合同约定的成交方账户或成交方数字人民币账户。</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1、预付款：合同金额的 20 %，合同签订后按规定支付；</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2、进度款：运维服务期满</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个月，支付</w:t>
      </w:r>
      <w:r>
        <w:rPr>
          <w:rFonts w:hint="eastAsia" w:ascii="宋体" w:hAnsi="宋体" w:cs="宋体"/>
          <w:bCs/>
          <w:sz w:val="24"/>
          <w:szCs w:val="24"/>
          <w:highlight w:val="none"/>
          <w:lang w:val="en-US" w:eastAsia="zh-CN"/>
        </w:rPr>
        <w:t xml:space="preserve">至</w:t>
      </w:r>
      <w:r>
        <w:rPr>
          <w:rFonts w:hint="eastAsia" w:ascii="宋体" w:hAnsi="宋体" w:cs="宋体"/>
          <w:bCs/>
          <w:sz w:val="24"/>
          <w:szCs w:val="24"/>
          <w:highlight w:val="none"/>
        </w:rPr>
        <w:t xml:space="preserve">合同价款的</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0%作为进度款；</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3、尾款：运维服务期满支付</w:t>
      </w:r>
      <w:r>
        <w:rPr>
          <w:rFonts w:hint="eastAsia" w:ascii="宋体" w:hAnsi="宋体" w:cs="宋体"/>
          <w:bCs/>
          <w:sz w:val="24"/>
          <w:szCs w:val="24"/>
          <w:highlight w:val="none"/>
          <w:lang w:val="en-US" w:eastAsia="zh-CN"/>
        </w:rPr>
        <w:t xml:space="preserve">对应的</w:t>
      </w:r>
      <w:r>
        <w:rPr>
          <w:rFonts w:hint="eastAsia" w:ascii="宋体" w:hAnsi="宋体" w:cs="宋体"/>
          <w:bCs/>
          <w:sz w:val="24"/>
          <w:szCs w:val="24"/>
          <w:highlight w:val="none"/>
        </w:rPr>
        <w:t xml:space="preserve">合同</w:t>
      </w:r>
      <w:r>
        <w:rPr>
          <w:rFonts w:hint="eastAsia" w:ascii="宋体" w:hAnsi="宋体" w:cs="宋体"/>
          <w:bCs/>
          <w:sz w:val="24"/>
          <w:szCs w:val="24"/>
          <w:highlight w:val="none"/>
          <w:lang w:val="en-US" w:eastAsia="zh-CN"/>
        </w:rPr>
        <w:t xml:space="preserve">余</w:t>
      </w:r>
      <w:r>
        <w:rPr>
          <w:rFonts w:hint="eastAsia" w:ascii="宋体" w:hAnsi="宋体" w:cs="宋体"/>
          <w:bCs/>
          <w:sz w:val="24"/>
          <w:szCs w:val="24"/>
          <w:highlight w:val="none"/>
        </w:rPr>
        <w:t xml:space="preserve">款，运维考核从余款中扣除。</w:t>
      </w:r>
      <w:r/>
    </w:p>
    <w:p>
      <w:pPr>
        <w:ind w:firstLine="482"/>
        <w:spacing w:line="520" w:lineRule="exact"/>
        <w:rPr>
          <w:rFonts w:hint="eastAsia" w:ascii="宋体" w:hAnsi="宋体" w:eastAsia="宋体" w:cs="宋体"/>
          <w:bCs/>
          <w:strike/>
          <w:sz w:val="24"/>
          <w:szCs w:val="24"/>
          <w:highlight w:val="none"/>
          <w:lang w:eastAsia="zh-CN"/>
        </w:rPr>
      </w:pPr>
      <w:r>
        <w:rPr>
          <w:rFonts w:hint="eastAsia" w:ascii="宋体" w:hAnsi="宋体" w:cs="宋体"/>
          <w:bCs/>
          <w:sz w:val="24"/>
          <w:szCs w:val="24"/>
          <w:highlight w:val="none"/>
        </w:rPr>
        <w:t xml:space="preserve">注：在签订合同时，成交人明确表示无需预付款或者主动要求降低预付款比例的金额，</w:t>
      </w:r>
      <w:r>
        <w:rPr>
          <w:rFonts w:hint="eastAsia" w:ascii="宋体" w:hAnsi="宋体" w:cs="宋体"/>
          <w:bCs/>
          <w:strike w:val="0"/>
          <w:sz w:val="24"/>
          <w:szCs w:val="24"/>
          <w:highlight w:val="none"/>
        </w:rPr>
        <w:t xml:space="preserve">采购人可不适用预付款规定。水站详细情况见市控水质自动监测站点及市控水质自动监测站点设备清单的表1、2，后期站点数量如有变动的，根据成交价格相应比例支付(注：</w:t>
      </w:r>
      <w:r>
        <w:rPr>
          <w:rFonts w:hint="eastAsia" w:ascii="宋体" w:hAnsi="宋体" w:cs="宋体"/>
          <w:bCs/>
          <w:strike w:val="0"/>
          <w:sz w:val="24"/>
          <w:szCs w:val="24"/>
          <w:highlight w:val="none"/>
          <w:lang w:val="en-US" w:eastAsia="zh-CN"/>
        </w:rPr>
        <w:t xml:space="preserve">实际</w:t>
      </w:r>
      <w:r>
        <w:rPr>
          <w:rFonts w:hint="eastAsia" w:ascii="宋体" w:hAnsi="宋体" w:cs="宋体"/>
          <w:bCs/>
          <w:strike w:val="0"/>
          <w:sz w:val="24"/>
          <w:szCs w:val="24"/>
          <w:highlight w:val="none"/>
        </w:rPr>
        <w:t xml:space="preserve">运维费按照“实际运维天数*实际运维站点数量*日单价（合同总价/365/14）”计算</w:t>
      </w:r>
      <w:r>
        <w:rPr>
          <w:rFonts w:hint="eastAsia" w:ascii="宋体" w:hAnsi="宋体" w:cs="宋体"/>
          <w:bCs/>
          <w:strike w:val="0"/>
          <w:sz w:val="24"/>
          <w:szCs w:val="24"/>
          <w:highlight w:val="none"/>
          <w:lang w:eastAsia="zh-CN"/>
        </w:rPr>
        <w:t xml:space="preserve">）。</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4、质量标准：合格。</w:t>
      </w:r>
      <w:r/>
    </w:p>
    <w:p>
      <w:pPr>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5、售后服务要求：供应商提供服务承诺、服务响应时间、服务方式、服务内容等，要求方案详细、有有效响应时间、服务体系完整、售后人员配置齐全。</w:t>
      </w:r>
      <w:r/>
    </w:p>
    <w:p>
      <w:pPr>
        <w:pStyle w:val="1100"/>
        <w:ind w:firstLine="420"/>
        <w:spacing w:line="500" w:lineRule="exact"/>
        <w:rPr>
          <w:rFonts w:hint="eastAsia" w:ascii="宋体" w:hAnsi="宋体" w:eastAsia="宋体" w:cs="宋体"/>
          <w:bCs/>
          <w:sz w:val="24"/>
          <w:szCs w:val="24"/>
          <w:highlight w:val="none"/>
          <w:lang w:val="en-US" w:eastAsia="zh-CN"/>
        </w:rPr>
      </w:pPr>
      <w:r>
        <w:rPr>
          <w:rFonts w:hint="eastAsia" w:ascii="宋体" w:hAnsi="宋体" w:cs="宋体"/>
          <w:b/>
          <w:bCs/>
          <w:color w:val="ff0000"/>
          <w:sz w:val="24"/>
          <w:szCs w:val="24"/>
          <w:highlight w:val="none"/>
          <w:lang w:val="en-US" w:eastAsia="zh-CN"/>
        </w:rPr>
        <w:t xml:space="preserve">6、本项目包含的仪器设备使用年限较久，供应商投标即视为理解并接受仪器现状，中标后即开展相关维护维修工作，产生的费用包含在全部报价中，采购人不再另行支付费用。如对仪器现状有疑问，可以在标前自行踏勘现场。</w:t>
      </w:r>
      <w:r/>
    </w:p>
    <w:p>
      <w:pPr>
        <w:ind w:firstLine="480"/>
        <w:spacing w:line="500" w:lineRule="exact"/>
        <w:widowControl/>
        <w:rPr>
          <w:rFonts w:hint="eastAsia" w:ascii="宋体" w:hAnsi="宋体" w:cs="宋体"/>
          <w:b/>
          <w:sz w:val="28"/>
          <w:szCs w:val="28"/>
          <w:highlight w:val="none"/>
        </w:rPr>
      </w:pPr>
      <w:r>
        <w:rPr>
          <w:rFonts w:hint="eastAsia" w:ascii="宋体" w:hAnsi="宋体" w:cs="宋体"/>
          <w:b/>
          <w:sz w:val="28"/>
          <w:szCs w:val="28"/>
          <w:highlight w:val="none"/>
        </w:rPr>
        <w:t xml:space="preserve">八、履约验收</w:t>
      </w:r>
      <w:r/>
    </w:p>
    <w:p>
      <w:pPr>
        <w:contextualSpacing/>
        <w:ind w:firstLine="480"/>
        <w:jc w:val="left"/>
        <w:spacing w:line="500" w:lineRule="exact"/>
        <w:rPr>
          <w:rFonts w:hint="eastAsia" w:ascii="宋体" w:hAnsi="宋体" w:cs="宋体"/>
          <w:sz w:val="24"/>
          <w:highlight w:val="none"/>
        </w:rPr>
      </w:pPr>
      <w:r>
        <w:rPr>
          <w:rFonts w:hint="eastAsia" w:ascii="宋体" w:hAnsi="宋体" w:cs="宋体"/>
          <w:sz w:val="24"/>
          <w:szCs w:val="24"/>
          <w:highlight w:val="none"/>
        </w:rPr>
        <w:t xml:space="preserve">1.验收标准：</w:t>
      </w:r>
      <w:r>
        <w:rPr>
          <w:rFonts w:hint="eastAsia" w:ascii="宋体" w:hAnsi="宋体" w:cs="宋体"/>
          <w:sz w:val="24"/>
          <w:highlight w:val="none"/>
        </w:rPr>
        <w:t xml:space="preserve">国家</w:t>
      </w:r>
      <w:r>
        <w:rPr>
          <w:rFonts w:hint="eastAsia" w:ascii="宋体" w:hAnsi="宋体" w:cs="宋体"/>
          <w:sz w:val="24"/>
          <w:szCs w:val="24"/>
          <w:highlight w:val="none"/>
        </w:rPr>
        <w:t xml:space="preserve">有</w:t>
      </w:r>
      <w:r>
        <w:rPr>
          <w:rFonts w:hint="eastAsia" w:ascii="宋体" w:hAnsi="宋体" w:cs="宋体"/>
          <w:sz w:val="24"/>
          <w:highlight w:val="none"/>
        </w:rPr>
        <w:t xml:space="preserve">相应标准、规范的遵照执行；国家没有相应标准、规范的，可使用行业标准、规定；上述标准、规范均没有的，按招标、投标约定的技术要求执行。</w:t>
      </w:r>
      <w:r/>
    </w:p>
    <w:p>
      <w:pPr>
        <w:ind w:firstLine="480"/>
        <w:spacing w:line="500" w:lineRule="exact"/>
        <w:rPr>
          <w:rFonts w:hint="eastAsia" w:ascii="宋体" w:hAnsi="宋体" w:cs="宋体"/>
          <w:b/>
          <w:sz w:val="28"/>
          <w:szCs w:val="28"/>
          <w:highlight w:val="none"/>
        </w:rPr>
      </w:pPr>
      <w:r>
        <w:rPr>
          <w:rFonts w:hint="eastAsia" w:ascii="宋体" w:hAnsi="宋体" w:cs="宋体"/>
          <w:sz w:val="24"/>
          <w:szCs w:val="24"/>
          <w:highlight w:val="none"/>
        </w:rPr>
        <w:t xml:space="preserve">2.验收方法：采购合同履约到期后，成交人</w:t>
      </w:r>
      <w:r>
        <w:rPr>
          <w:rFonts w:hint="eastAsia" w:ascii="宋体" w:hAnsi="宋体" w:cs="宋体"/>
          <w:sz w:val="24"/>
          <w:highlight w:val="none"/>
        </w:rPr>
        <w:t xml:space="preserve">向采购人提出验收申请，并提供验收报告及相关资料，采购人在接到成交人验收申请后</w:t>
      </w:r>
      <w:r>
        <w:rPr>
          <w:rFonts w:hint="eastAsia" w:ascii="宋体" w:hAnsi="宋体" w:cs="宋体"/>
          <w:sz w:val="24"/>
          <w:highlight w:val="none"/>
          <w:u w:val="single"/>
        </w:rPr>
        <w:t xml:space="preserve">10</w:t>
      </w:r>
      <w:r>
        <w:rPr>
          <w:rFonts w:hint="eastAsia" w:ascii="宋体" w:hAnsi="宋体" w:cs="宋体"/>
          <w:sz w:val="24"/>
          <w:highlight w:val="none"/>
        </w:rPr>
        <w:t xml:space="preserve">日内组织开展验收，并出具验收意见，作为支付款项的依据，验收过程中产生的相关费用由成交人承担。</w:t>
      </w:r>
      <w:r/>
    </w:p>
    <w:p>
      <w:pPr>
        <w:ind w:firstLine="562"/>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九、采购标的需实现的功能或者目标，以及为落实政府采购政策需满足的要求。</w:t>
      </w:r>
      <w:r/>
    </w:p>
    <w:p>
      <w:pPr>
        <w:ind w:firstLine="480"/>
        <w:spacing w:line="440" w:lineRule="exact"/>
        <w:rPr>
          <w:rFonts w:hint="eastAsia" w:ascii="宋体" w:hAnsi="宋体" w:cs="宋体"/>
          <w:sz w:val="24"/>
          <w:highlight w:val="none"/>
        </w:rPr>
      </w:pPr>
      <w:r>
        <w:rPr>
          <w:rFonts w:hint="eastAsia" w:ascii="宋体" w:hAnsi="宋体" w:cs="宋体"/>
          <w:bCs/>
          <w:sz w:val="24"/>
          <w:szCs w:val="24"/>
          <w:highlight w:val="none"/>
        </w:rPr>
        <w:t xml:space="preserve">1.</w:t>
      </w:r>
      <w:r>
        <w:rPr>
          <w:rFonts w:hint="eastAsia" w:ascii="宋体" w:hAnsi="宋体" w:cs="宋体"/>
          <w:sz w:val="24"/>
          <w:highlight w:val="none"/>
        </w:rPr>
        <w:t xml:space="preserve">采购本国货物、工程和服务</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2.本项目按以下第</w:t>
      </w:r>
      <w:r>
        <w:rPr>
          <w:rFonts w:hint="eastAsia" w:ascii="宋体" w:hAnsi="宋体" w:cs="宋体"/>
          <w:sz w:val="24"/>
          <w:szCs w:val="24"/>
          <w:highlight w:val="none"/>
          <w:u w:val="single"/>
        </w:rPr>
        <w:t xml:space="preserve">1</w:t>
      </w:r>
      <w:r>
        <w:rPr>
          <w:rFonts w:hint="eastAsia" w:ascii="宋体" w:hAnsi="宋体" w:cs="宋体"/>
          <w:sz w:val="24"/>
          <w:szCs w:val="24"/>
          <w:highlight w:val="none"/>
        </w:rPr>
        <w:t xml:space="preserve">种政策确定本项目落实的中小企业政策：</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（1）本项目专门面向中小企业（含监狱企业、残疾人福利企业）采购。</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（2）供应商提供的货物、工程或者服务符合下列情形的，对小微企业报价给予</w:t>
      </w:r>
      <w:r>
        <w:rPr>
          <w:rFonts w:hint="eastAsia" w:ascii="宋体" w:hAnsi="宋体" w:cs="宋体"/>
          <w:sz w:val="24"/>
          <w:highlight w:val="none"/>
          <w:u w:val="single"/>
        </w:rPr>
        <w:t xml:space="preserve">10</w:t>
      </w:r>
      <w:r>
        <w:rPr>
          <w:rFonts w:hint="eastAsia" w:ascii="宋体" w:hAnsi="宋体" w:cs="宋体"/>
          <w:sz w:val="24"/>
          <w:highlight w:val="none"/>
        </w:rPr>
        <w:t xml:space="preserve">%的扣除，用扣除后的价格参加评审。    </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（一）在货物采购项目中，货物由中小企业制造，即货物由中小企业生产且使用该中小企业商号或者注册商标；</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（二）在工程采购项目中，工程由中小企业承建，即工程施工单位为中小企业；</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（三）在服务采购项目中，服务由中小企业承接，即提供服务的人员为中小企业依照《中华人民共和国民法典》订立劳动合同的从业人员。</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880"/>
        <w:jc w:val="center"/>
        <w:spacing w:line="500" w:lineRule="exact"/>
        <w:rPr>
          <w:rFonts w:hint="eastAsia" w:ascii="宋体" w:hAnsi="宋体" w:cs="宋体"/>
          <w:bCs/>
          <w:sz w:val="44"/>
          <w:szCs w:val="28"/>
          <w:highlight w:val="none"/>
        </w:rPr>
        <w:outlineLvl w:val="0"/>
      </w:pPr>
      <w:r>
        <w:rPr>
          <w:rFonts w:hint="eastAsia" w:ascii="宋体" w:hAnsi="宋体" w:cs="宋体"/>
          <w:bCs/>
          <w:sz w:val="44"/>
          <w:szCs w:val="28"/>
          <w:highlight w:val="none"/>
        </w:rPr>
        <w:br w:type="page" w:clear="all"/>
      </w:r>
      <w:bookmarkStart w:id="82" w:name="_Toc28009"/>
      <w:r>
        <w:rPr>
          <w:rFonts w:hint="eastAsia" w:ascii="宋体" w:hAnsi="宋体" w:cs="宋体"/>
          <w:b/>
          <w:bCs/>
          <w:sz w:val="44"/>
          <w:szCs w:val="44"/>
          <w:highlight w:val="none"/>
        </w:rPr>
        <w:t xml:space="preserve">第五章  评审方法与评审标准</w:t>
      </w:r>
      <w:bookmarkEnd w:id="82"/>
      <w:r/>
      <w:r/>
    </w:p>
    <w:p>
      <w:pPr>
        <w:rPr>
          <w:rFonts w:hint="eastAsia" w:ascii="宋体" w:hAnsi="宋体" w:cs="宋体"/>
          <w:szCs w:val="21"/>
          <w:highlight w:val="none"/>
        </w:rPr>
      </w:pPr>
      <w:r>
        <w:rPr>
          <w:rFonts w:hint="eastAsia" w:ascii="宋体" w:hAnsi="宋体" w:cs="宋体"/>
          <w:szCs w:val="21"/>
          <w:highlight w:val="none"/>
        </w:rPr>
      </w:r>
      <w:r/>
    </w:p>
    <w:p>
      <w:pPr>
        <w:ind w:firstLine="562"/>
        <w:spacing w:line="500" w:lineRule="exact"/>
        <w:tabs>
          <w:tab w:val="left" w:pos="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8"/>
          <w:szCs w:val="22"/>
          <w:highlight w:val="none"/>
        </w:rPr>
        <w:t xml:space="preserve">一、资格审查。</w:t>
      </w:r>
      <w:r>
        <w:rPr>
          <w:rFonts w:hint="eastAsia" w:asciiTheme="minorEastAsia" w:hAnsiTheme="minorEastAsia" w:eastAsiaTheme="minorEastAsia" w:cstheme="minorEastAsia"/>
          <w:color w:val="auto"/>
          <w:sz w:val="24"/>
          <w:highlight w:val="none"/>
        </w:rPr>
        <w:t xml:space="preserve">资格审查人员按照下列指标对各供应商的资格进行审查，未通过审查的为无效标，不参与评审。</w:t>
      </w:r>
      <w:r/>
    </w:p>
    <w:tbl>
      <w:tblPr>
        <w:tblStyle w:val="744"/>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tabs>
                <w:tab w:val="left" w:pos="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tabs>
                <w:tab w:val="left" w:pos="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tabs>
                <w:tab w:val="left" w:pos="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tabs>
                <w:tab w:val="left" w:pos="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tabs>
                <w:tab w:val="left" w:pos="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tabs>
                <w:tab w:val="left" w:pos="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tabs>
                <w:tab w:val="left" w:pos="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tabs>
                <w:tab w:val="left" w:pos="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符合磋商文件要求</w:t>
            </w:r>
            <w:r/>
          </w:p>
        </w:tc>
      </w:tr>
    </w:tbl>
    <w:p>
      <w:pPr>
        <w:ind w:firstLine="562"/>
        <w:spacing w:line="500" w:lineRule="exact"/>
        <w:tabs>
          <w:tab w:val="left" w:pos="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8"/>
          <w:szCs w:val="22"/>
          <w:highlight w:val="none"/>
        </w:rPr>
        <w:t xml:space="preserve">二、符合性审查。</w:t>
      </w:r>
      <w:r>
        <w:rPr>
          <w:rFonts w:hint="eastAsia" w:asciiTheme="minorEastAsia" w:hAnsiTheme="minorEastAsia" w:eastAsiaTheme="minorEastAsia" w:cstheme="minorEastAsia"/>
          <w:color w:val="auto"/>
          <w:sz w:val="24"/>
          <w:highlight w:val="none"/>
        </w:rPr>
        <w:t xml:space="preserve">磋商小组首先按照下列指标对各供应商进行初步评审，未通过评审的为无效标，不再参与评审。</w:t>
      </w:r>
      <w:r/>
    </w:p>
    <w:tbl>
      <w:tblPr>
        <w:tblStyle w:val="744"/>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tabs>
                <w:tab w:val="left" w:pos="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tabs>
                <w:tab w:val="left" w:pos="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tabs>
                <w:tab w:val="left" w:pos="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tabs>
                <w:tab w:val="left" w:pos="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tabs>
                <w:tab w:val="left" w:pos="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tabs>
                <w:tab w:val="left" w:pos="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符合磋商文件要求</w:t>
            </w:r>
            <w:r/>
          </w:p>
        </w:tc>
      </w:tr>
    </w:tbl>
    <w:p>
      <w:pPr>
        <w:ind w:firstLine="562"/>
        <w:spacing w:line="500" w:lineRule="exact"/>
        <w:rPr>
          <w:rFonts w:hint="eastAsia" w:ascii="宋体" w:hAnsi="宋体" w:cs="宋体"/>
          <w:b/>
          <w:sz w:val="28"/>
          <w:highlight w:val="none"/>
        </w:rPr>
      </w:pPr>
      <w:r>
        <w:rPr>
          <w:rFonts w:hint="eastAsia" w:ascii="宋体" w:hAnsi="宋体" w:cs="宋体"/>
          <w:b/>
          <w:sz w:val="28"/>
          <w:highlight w:val="none"/>
        </w:rPr>
        <w:t xml:space="preserve">二、评分办法—综合评分法</w:t>
      </w:r>
      <w:r/>
    </w:p>
    <w:p>
      <w:pPr>
        <w:ind w:firstLine="482"/>
        <w:jc w:val="left"/>
        <w:spacing w:line="500" w:lineRule="exact"/>
        <w:rPr>
          <w:rFonts w:hint="eastAsia" w:ascii="宋体" w:hAnsi="宋体" w:cs="宋体"/>
          <w:sz w:val="24"/>
          <w:highlight w:val="none"/>
        </w:rPr>
      </w:pPr>
      <w:r>
        <w:rPr>
          <w:rFonts w:hint="eastAsia" w:ascii="宋体" w:hAnsi="宋体" w:cs="宋体"/>
          <w:b/>
          <w:sz w:val="24"/>
          <w:highlight w:val="none"/>
        </w:rPr>
        <w:t xml:space="preserve">（一）评标办法：</w:t>
      </w:r>
      <w:r>
        <w:rPr>
          <w:rFonts w:hint="eastAsia" w:ascii="宋体" w:hAnsi="宋体" w:cs="宋体"/>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cs="宋体"/>
          <w:sz w:val="24"/>
          <w:highlight w:val="none"/>
        </w:rPr>
      </w:pPr>
      <w:r>
        <w:rPr>
          <w:rFonts w:hint="eastAsia" w:ascii="宋体" w:hAnsi="宋体" w:cs="宋体"/>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cs="宋体"/>
          <w:sz w:val="24"/>
          <w:highlight w:val="none"/>
        </w:rPr>
      </w:pPr>
      <w:r>
        <w:rPr>
          <w:rFonts w:hint="eastAsia" w:ascii="宋体" w:hAnsi="宋体" w:cs="宋体"/>
          <w:sz w:val="24"/>
          <w:highlight w:val="none"/>
        </w:rPr>
        <w:t xml:space="preserve">综合评分保留至小数点后两位。 </w:t>
      </w:r>
      <w:r/>
    </w:p>
    <w:p>
      <w:pPr>
        <w:ind w:firstLine="482"/>
        <w:jc w:val="left"/>
        <w:spacing w:line="500" w:lineRule="exact"/>
        <w:rPr>
          <w:rFonts w:hint="eastAsia" w:ascii="宋体" w:hAnsi="宋体" w:cs="宋体"/>
          <w:b/>
          <w:sz w:val="24"/>
          <w:highlight w:val="none"/>
        </w:rPr>
      </w:pPr>
      <w:r>
        <w:rPr>
          <w:rFonts w:hint="eastAsia" w:ascii="宋体" w:hAnsi="宋体" w:cs="宋体"/>
          <w:b/>
          <w:sz w:val="24"/>
          <w:highlight w:val="none"/>
        </w:rPr>
        <w:t xml:space="preserve">（二）详细评审。</w:t>
      </w:r>
      <w:r>
        <w:rPr>
          <w:rFonts w:hint="eastAsia" w:ascii="宋体" w:hAnsi="宋体" w:cs="宋体"/>
          <w:sz w:val="24"/>
          <w:highlight w:val="none"/>
        </w:rPr>
        <w:t xml:space="preserve">磋商小组按照竞争性磋商文件规定的评分标准，对各响应文件进行详细评审打分。磋商小组组长对各评审专家的打分情况进行复核无误后汇总。</w:t>
      </w:r>
      <w:r/>
    </w:p>
    <w:tbl>
      <w:tblPr>
        <w:tblStyle w:val="744"/>
        <w:tblW w:w="5164"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18"/>
        <w:gridCol w:w="1325"/>
        <w:gridCol w:w="1215"/>
        <w:gridCol w:w="5599"/>
      </w:tblGrid>
      <w:tr>
        <w:trPr/>
        <w:tc>
          <w:tcPr>
            <w:gridSpan w:val="2"/>
            <w:tcW w:w="2441"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评审因素</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分数</w:t>
            </w:r>
            <w:r/>
          </w:p>
        </w:tc>
        <w:tc>
          <w:tcPr>
            <w:tcW w:w="5593" w:type="dxa"/>
            <w:vAlign w:val="center"/>
            <w:textDirection w:val="lrTb"/>
            <w:noWrap w:val="false"/>
          </w:tcPr>
          <w:p>
            <w:pPr>
              <w:ind w:firstLine="480"/>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评审标准</w:t>
            </w:r>
            <w:r/>
          </w:p>
        </w:tc>
      </w:tr>
      <w:tr>
        <w:trPr/>
        <w:tc>
          <w:tcPr>
            <w:tcW w:w="1117"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报价分</w:t>
            </w:r>
            <w:r/>
          </w:p>
        </w:tc>
        <w:tc>
          <w:tcPr>
            <w:tcW w:w="132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磋商报价</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.00</w:t>
            </w:r>
            <w:r/>
          </w:p>
        </w:tc>
        <w:tc>
          <w:tcPr>
            <w:tcW w:w="5593" w:type="dxa"/>
            <w:vAlign w:val="center"/>
            <w:textDirection w:val="lrTb"/>
            <w:noWrap w:val="false"/>
          </w:tcPr>
          <w:p>
            <w:pPr>
              <w:ind w:firstLine="48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w:t>
            </w:r>
            <w:r/>
          </w:p>
        </w:tc>
      </w:tr>
      <w:tr>
        <w:trPr/>
        <w:tc>
          <w:tcPr>
            <w:tcW w:w="11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技术评审</w:t>
            </w:r>
            <w:r/>
          </w:p>
        </w:tc>
        <w:tc>
          <w:tcPr>
            <w:tcW w:w="132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项目运维方案</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12.00</w:t>
            </w:r>
            <w:r/>
          </w:p>
        </w:tc>
        <w:tc>
          <w:tcPr>
            <w:tcW w:w="5593" w:type="dxa"/>
            <w:vAlign w:val="center"/>
            <w:textDirection w:val="lrTb"/>
            <w:noWrap w:val="false"/>
          </w:tcPr>
          <w:p>
            <w:pPr>
              <w:ind w:firstLine="48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根据各供应商所提供的运维及服务方案，包括运维内容、运维情况、服务承诺，提供切实可行的工作维护样表及规章制度、备品更换情况等情况，方案内容完整详尽、可行性强、服务承诺全面,优于或完全满足采购需求的，得12分；方案内容有部分缺失、表述准确性及条理性不够准确清晰、可操作性较强的，基本满足采购需求的得8分；方案内容不够全面、可行性较差、服务承诺较差，调整后能满足采购需求的得4分；其他情况或没有内容不得分。</w:t>
            </w:r>
            <w:r/>
          </w:p>
        </w:tc>
      </w:tr>
      <w:tr>
        <w:trPr/>
        <w:tc>
          <w:tcPr>
            <w:tcW w:w="11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2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服务响应方案</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8.00</w:t>
            </w:r>
            <w:r/>
          </w:p>
        </w:tc>
        <w:tc>
          <w:tcPr>
            <w:tcW w:w="5593" w:type="dxa"/>
            <w:vAlign w:val="center"/>
            <w:textDirection w:val="lrTb"/>
            <w:noWrap w:val="false"/>
          </w:tcPr>
          <w:p>
            <w:pPr>
              <w:ind w:firstLine="48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根据各供应商所提供的服务响应方案，包括对运维内容的响应时间、上门服务时间等情况，方案内容完整详尽、可行性强、时间响应快捷,优于或完全满足采购需求的，得8分；方案内容有部分缺失、表述准确性及条理性不够准确清晰、可操作性较强的，基本满足采购需求的得5分；方案内容不够全面、可行性较差、时间响应差，调整后能满足采购需求的得3分；其他情况或没有内容不得分。</w:t>
            </w:r>
            <w:r/>
          </w:p>
        </w:tc>
      </w:tr>
      <w:tr>
        <w:trPr/>
        <w:tc>
          <w:tcPr>
            <w:tcW w:w="11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2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运维培训方案、安全生产培训方案</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10.00</w:t>
            </w:r>
            <w:r/>
          </w:p>
        </w:tc>
        <w:tc>
          <w:tcPr>
            <w:tcW w:w="5593" w:type="dxa"/>
            <w:vAlign w:val="center"/>
            <w:textDirection w:val="lrTb"/>
            <w:noWrap w:val="false"/>
          </w:tcPr>
          <w:p>
            <w:pPr>
              <w:ind w:firstLine="48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根据各供应商的培训方案及应急预案，合理、完整，有详细的培训计划安排表，培训工作有针对性、目标明确，考核方案操作性强，培训授课人员专业、有一定的项目经验，突发情况及应急处理预案完整，且优于采购需求的，得10分；方案内容完整程度较高，培训工作针对性一般、可操作性良好，且能满足采购需求的，得7分；方案内容不够完整，可操作性较差，培训工作针对性不够，调整后能满足采购需求的，得3分；其他情况或没有内容不得分。</w:t>
            </w:r>
            <w:r/>
          </w:p>
        </w:tc>
      </w:tr>
      <w:tr>
        <w:trPr/>
        <w:tc>
          <w:tcPr>
            <w:tcW w:w="11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2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应急方案</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.00</w:t>
            </w:r>
            <w:r/>
          </w:p>
        </w:tc>
        <w:tc>
          <w:tcPr>
            <w:tcW w:w="5593"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    对应急工作进行了合理规划并制定可行计划，应急方案针对性强，各要素考虑充分，同时根据磋商文件服务要求，列出各种应急情景、发现应急情况的方法、应急措施及解决方案，系统地阐述判断和解决方法，制定完善的工作流程，能很好应对可能的突发情况，优于或完全满足采购需求，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分；应急方案针对性较强，制定完善的工作流程，能较好应对可能的突发情况，基本满足采购需求，得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分；较为系统地列出各种应急情景、发现应急情况的方法、应急措施及解决方案，但略有缺陷；或者列出部分应急情景、发现应急情况的方法、应急措施及解决方案，但承诺后期优化能够满足的，得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分；对常见的应急情景有遗漏，或应急措施及解决方案粗略、缺乏针对性，难以及时应对常见的突发情况，与本项目偏差较大，无法满足运维要求，或未提供应急方案的不得分。</w:t>
            </w:r>
            <w:r/>
          </w:p>
        </w:tc>
      </w:tr>
      <w:tr>
        <w:trPr/>
        <w:tc>
          <w:tcPr>
            <w:tcW w:w="11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2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运维工作信息化管理</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.00</w:t>
            </w:r>
            <w:r/>
          </w:p>
        </w:tc>
        <w:tc>
          <w:tcPr>
            <w:tcW w:w="5593" w:type="dxa"/>
            <w:vAlign w:val="center"/>
            <w:textDirection w:val="lrTb"/>
            <w:noWrap w:val="false"/>
          </w:tcPr>
          <w:p>
            <w:pPr>
              <w:ind w:firstLine="48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投标单位针对本水质监测站的运维工作提供切实可行的运维信息化管理方案与软件，包括运维手机APP等内容进行对比打分，方案内容完整详尽、可行性强，优于或完全满足采购需求的，得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分；方案内容有部分缺失、表述准确性及条理性不够准确清晰、可操作性较强的，基本满足采购需求的得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分；方案内容不够全面、可行性较差，调整后能满足采购需求的，得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分；其他情况或没有内容不得分。</w:t>
            </w:r>
            <w:r/>
          </w:p>
        </w:tc>
      </w:tr>
      <w:tr>
        <w:trPr/>
        <w:tc>
          <w:tcPr>
            <w:tcW w:w="1117" w:type="dxa"/>
            <w:vAlign w:val="center"/>
            <w:vMerge w:val="restart"/>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商务评审</w:t>
            </w:r>
            <w:r/>
          </w:p>
        </w:tc>
        <w:tc>
          <w:tcPr>
            <w:tcW w:w="132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企业业绩</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6.00</w:t>
            </w:r>
            <w:r/>
          </w:p>
        </w:tc>
        <w:tc>
          <w:tcPr>
            <w:tcW w:w="5593" w:type="dxa"/>
            <w:vAlign w:val="center"/>
            <w:textDirection w:val="lrTb"/>
            <w:noWrap w:val="false"/>
          </w:tcPr>
          <w:p>
            <w:pPr>
              <w:ind w:firstLine="480"/>
              <w:rPr>
                <w:sz w:val="24"/>
                <w:szCs w:val="24"/>
                <w:highlight w:val="none"/>
              </w:rPr>
            </w:pPr>
            <w:r>
              <w:rPr>
                <w:rFonts w:hint="eastAsia"/>
                <w:sz w:val="24"/>
                <w:szCs w:val="24"/>
                <w:highlight w:val="none"/>
              </w:rPr>
              <w:t xml:space="preserve">1.供应商自</w:t>
            </w:r>
            <w:r>
              <w:rPr>
                <w:sz w:val="24"/>
                <w:szCs w:val="24"/>
                <w:highlight w:val="none"/>
              </w:rPr>
              <w:t xml:space="preserve">20</w:t>
            </w:r>
            <w:r>
              <w:rPr>
                <w:rFonts w:hint="eastAsia"/>
                <w:sz w:val="24"/>
                <w:szCs w:val="24"/>
                <w:highlight w:val="none"/>
                <w:lang w:val="en-US" w:eastAsia="zh-CN"/>
              </w:rPr>
              <w:t xml:space="preserve">23</w:t>
            </w:r>
            <w:r>
              <w:rPr>
                <w:sz w:val="24"/>
                <w:szCs w:val="24"/>
                <w:highlight w:val="none"/>
              </w:rPr>
              <w:t xml:space="preserve">年</w:t>
            </w:r>
            <w:r>
              <w:rPr>
                <w:rFonts w:hint="eastAsia"/>
                <w:sz w:val="24"/>
                <w:szCs w:val="24"/>
                <w:highlight w:val="none"/>
              </w:rPr>
              <w:t xml:space="preserve">1月1日以来（以合同签订时间为准）承担过类似业绩</w:t>
            </w:r>
            <w:r>
              <w:rPr>
                <w:sz w:val="24"/>
                <w:szCs w:val="24"/>
                <w:highlight w:val="none"/>
              </w:rPr>
              <w:t xml:space="preserve">，</w:t>
            </w:r>
            <w:r>
              <w:rPr>
                <w:rFonts w:hint="eastAsia"/>
                <w:sz w:val="24"/>
                <w:szCs w:val="24"/>
                <w:highlight w:val="none"/>
              </w:rPr>
              <w:t xml:space="preserve">合同</w:t>
            </w:r>
            <w:r>
              <w:rPr>
                <w:sz w:val="24"/>
                <w:szCs w:val="24"/>
                <w:highlight w:val="none"/>
              </w:rPr>
              <w:t xml:space="preserve">关键页</w:t>
            </w:r>
            <w:r>
              <w:rPr>
                <w:rFonts w:hint="eastAsia"/>
                <w:sz w:val="24"/>
                <w:szCs w:val="24"/>
                <w:highlight w:val="none"/>
              </w:rPr>
              <w:t xml:space="preserve">扫描件</w:t>
            </w:r>
            <w:r>
              <w:rPr>
                <w:sz w:val="24"/>
                <w:szCs w:val="24"/>
                <w:highlight w:val="none"/>
              </w:rPr>
              <w:t xml:space="preserve">必须清晰并加盖公章</w:t>
            </w:r>
            <w:r>
              <w:rPr>
                <w:rFonts w:hint="eastAsia"/>
                <w:sz w:val="24"/>
                <w:szCs w:val="24"/>
                <w:highlight w:val="none"/>
              </w:rPr>
              <w:t xml:space="preserve">，</w:t>
            </w:r>
            <w:r>
              <w:rPr>
                <w:sz w:val="24"/>
                <w:szCs w:val="24"/>
                <w:highlight w:val="none"/>
              </w:rPr>
              <w:t xml:space="preserve">每个</w:t>
            </w:r>
            <w:r>
              <w:rPr>
                <w:rFonts w:hint="eastAsia"/>
                <w:sz w:val="24"/>
                <w:szCs w:val="24"/>
                <w:highlight w:val="none"/>
              </w:rPr>
              <w:t xml:space="preserve">业绩</w:t>
            </w:r>
            <w:r>
              <w:rPr>
                <w:sz w:val="24"/>
                <w:szCs w:val="24"/>
                <w:highlight w:val="none"/>
              </w:rPr>
              <w:t xml:space="preserve">得1分，</w:t>
            </w:r>
            <w:r>
              <w:rPr>
                <w:rFonts w:hint="eastAsia"/>
                <w:sz w:val="24"/>
                <w:szCs w:val="24"/>
                <w:highlight w:val="none"/>
              </w:rPr>
              <w:t xml:space="preserve">最高得</w:t>
            </w:r>
            <w:r>
              <w:rPr>
                <w:sz w:val="24"/>
                <w:szCs w:val="24"/>
                <w:highlight w:val="none"/>
              </w:rPr>
              <w:t xml:space="preserve">3分。</w:t>
            </w:r>
            <w:r/>
          </w:p>
          <w:p>
            <w:pPr>
              <w:ind w:firstLine="480"/>
              <w:rPr>
                <w:sz w:val="24"/>
                <w:szCs w:val="24"/>
                <w:highlight w:val="none"/>
              </w:rPr>
            </w:pPr>
            <w:r>
              <w:rPr>
                <w:rFonts w:hint="eastAsia"/>
                <w:sz w:val="24"/>
                <w:szCs w:val="24"/>
                <w:highlight w:val="none"/>
              </w:rPr>
              <w:t xml:space="preserve">2.上述业绩材料</w:t>
            </w:r>
            <w:r>
              <w:rPr>
                <w:sz w:val="24"/>
                <w:szCs w:val="24"/>
                <w:highlight w:val="none"/>
              </w:rPr>
              <w:t xml:space="preserve">提供业主方对整体合同服务质量评价的证明材料，评价结果为优秀的或在评价结果中取得最高档次的或90分以上</w:t>
            </w:r>
            <w:r>
              <w:rPr>
                <w:rFonts w:hint="eastAsia"/>
                <w:sz w:val="24"/>
                <w:szCs w:val="24"/>
                <w:highlight w:val="none"/>
              </w:rPr>
              <w:t xml:space="preserve">（</w:t>
            </w:r>
            <w:r>
              <w:rPr>
                <w:sz w:val="24"/>
                <w:szCs w:val="24"/>
                <w:highlight w:val="none"/>
              </w:rPr>
              <w:t xml:space="preserve">百分制</w:t>
            </w:r>
            <w:r>
              <w:rPr>
                <w:rFonts w:hint="eastAsia"/>
                <w:sz w:val="24"/>
                <w:szCs w:val="24"/>
                <w:highlight w:val="none"/>
              </w:rPr>
              <w:t xml:space="preserve">）</w:t>
            </w:r>
            <w:r>
              <w:rPr>
                <w:sz w:val="24"/>
                <w:szCs w:val="24"/>
                <w:highlight w:val="none"/>
              </w:rPr>
              <w:t xml:space="preserve">的，评价材料需业主方加盖公章</w:t>
            </w:r>
            <w:r>
              <w:rPr>
                <w:rFonts w:hint="eastAsia"/>
                <w:sz w:val="24"/>
                <w:szCs w:val="24"/>
                <w:highlight w:val="none"/>
              </w:rPr>
              <w:t xml:space="preserve">；</w:t>
            </w:r>
            <w:r>
              <w:rPr>
                <w:sz w:val="24"/>
                <w:szCs w:val="24"/>
                <w:highlight w:val="none"/>
              </w:rPr>
              <w:t xml:space="preserve">每个</w:t>
            </w:r>
            <w:r>
              <w:rPr>
                <w:rFonts w:hint="eastAsia"/>
                <w:sz w:val="24"/>
                <w:szCs w:val="24"/>
                <w:highlight w:val="none"/>
              </w:rPr>
              <w:t xml:space="preserve">业绩</w:t>
            </w:r>
            <w:r>
              <w:rPr>
                <w:sz w:val="24"/>
                <w:szCs w:val="24"/>
                <w:highlight w:val="none"/>
              </w:rPr>
              <w:t xml:space="preserve">得</w:t>
            </w:r>
            <w:r>
              <w:rPr>
                <w:rFonts w:hint="eastAsia"/>
                <w:sz w:val="24"/>
                <w:szCs w:val="24"/>
                <w:highlight w:val="none"/>
                <w:lang w:val="en-US" w:eastAsia="zh-CN"/>
              </w:rPr>
              <w:t xml:space="preserve">1</w:t>
            </w:r>
            <w:r>
              <w:rPr>
                <w:sz w:val="24"/>
                <w:szCs w:val="24"/>
                <w:highlight w:val="none"/>
              </w:rPr>
              <w:t xml:space="preserve">分，</w:t>
            </w:r>
            <w:r>
              <w:rPr>
                <w:rFonts w:hint="eastAsia"/>
                <w:sz w:val="24"/>
                <w:szCs w:val="24"/>
                <w:highlight w:val="none"/>
              </w:rPr>
              <w:t xml:space="preserve">最高得</w:t>
            </w:r>
            <w:r>
              <w:rPr>
                <w:rFonts w:hint="eastAsia"/>
                <w:sz w:val="24"/>
                <w:szCs w:val="24"/>
                <w:highlight w:val="none"/>
                <w:lang w:val="en-US" w:eastAsia="zh-CN"/>
              </w:rPr>
              <w:t xml:space="preserve">3</w:t>
            </w:r>
            <w:r>
              <w:rPr>
                <w:sz w:val="24"/>
                <w:szCs w:val="24"/>
                <w:highlight w:val="none"/>
              </w:rPr>
              <w:t xml:space="preserve">分。</w:t>
            </w:r>
            <w:r/>
          </w:p>
          <w:p>
            <w:pPr>
              <w:ind w:firstLine="480"/>
              <w:jc w:val="left"/>
              <w:spacing w:line="360" w:lineRule="exact"/>
              <w:rPr>
                <w:rFonts w:hint="eastAsia" w:ascii="宋体" w:hAnsi="宋体" w:cs="宋体"/>
                <w:sz w:val="24"/>
                <w:szCs w:val="24"/>
                <w:highlight w:val="none"/>
              </w:rPr>
            </w:pPr>
            <w:r>
              <w:rPr>
                <w:sz w:val="24"/>
                <w:szCs w:val="24"/>
                <w:highlight w:val="none"/>
              </w:rPr>
              <w:t xml:space="preserve">注：业绩证明材料需同时提供合同和中标（成交）通知书原件电子件</w:t>
            </w:r>
            <w:r>
              <w:rPr>
                <w:rFonts w:hint="eastAsia"/>
                <w:sz w:val="24"/>
                <w:szCs w:val="24"/>
                <w:highlight w:val="none"/>
              </w:rPr>
              <w:t xml:space="preserve">，业绩合同的项目名称、内容、金额、双方盖章及签订日期均应齐全，未提供或提供内容不符合要求的不得分</w:t>
            </w:r>
            <w:r>
              <w:rPr>
                <w:sz w:val="24"/>
                <w:szCs w:val="24"/>
                <w:highlight w:val="none"/>
              </w:rPr>
              <w:t xml:space="preserve">。</w:t>
            </w:r>
            <w:r/>
          </w:p>
        </w:tc>
      </w:tr>
      <w:tr>
        <w:trPr/>
        <w:tc>
          <w:tcPr>
            <w:tcW w:w="11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24"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技术能力、项目组成员</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.00</w:t>
            </w:r>
            <w:r/>
          </w:p>
        </w:tc>
        <w:tc>
          <w:tcPr>
            <w:tcW w:w="5593" w:type="dxa"/>
            <w:vAlign w:val="center"/>
            <w:textDirection w:val="lrTb"/>
            <w:noWrap w:val="false"/>
          </w:tcPr>
          <w:p>
            <w:pPr>
              <w:ind w:firstLine="480"/>
              <w:tabs>
                <w:tab w:val="center" w:pos="4153" w:leader="none"/>
                <w:tab w:val="right" w:pos="8306" w:leader="none"/>
              </w:tabs>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项目负责人</w:t>
            </w:r>
            <w:r/>
          </w:p>
          <w:p>
            <w:pPr>
              <w:ind w:firstLine="480"/>
              <w:tabs>
                <w:tab w:val="center" w:pos="4153" w:leader="none"/>
                <w:tab w:val="right" w:pos="8306" w:leader="none"/>
              </w:tabs>
              <w:rPr>
                <w:sz w:val="24"/>
                <w:szCs w:val="24"/>
                <w:highlight w:val="none"/>
              </w:rPr>
            </w:pPr>
            <w:r>
              <w:rPr>
                <w:sz w:val="24"/>
                <w:szCs w:val="24"/>
                <w:highlight w:val="none"/>
              </w:rPr>
              <w:t xml:space="preserve">项目负责人具备生态环境类高级</w:t>
            </w:r>
            <w:r>
              <w:rPr>
                <w:rFonts w:hint="eastAsia"/>
                <w:sz w:val="24"/>
                <w:szCs w:val="24"/>
                <w:highlight w:val="none"/>
              </w:rPr>
              <w:t xml:space="preserve">或以上</w:t>
            </w:r>
            <w:r>
              <w:rPr>
                <w:sz w:val="24"/>
                <w:szCs w:val="24"/>
                <w:highlight w:val="none"/>
              </w:rPr>
              <w:t xml:space="preserve">工程师职称的得3分；生态环境类工程师职称的得1分；本项目</w:t>
            </w:r>
            <w:r>
              <w:rPr>
                <w:rFonts w:hint="eastAsia"/>
                <w:sz w:val="24"/>
                <w:szCs w:val="24"/>
                <w:highlight w:val="none"/>
              </w:rPr>
              <w:t xml:space="preserve">不累计计分，</w:t>
            </w:r>
            <w:r>
              <w:rPr>
                <w:sz w:val="24"/>
                <w:szCs w:val="24"/>
                <w:highlight w:val="none"/>
              </w:rPr>
              <w:t xml:space="preserve">最高得3分；</w:t>
            </w:r>
            <w:r/>
          </w:p>
          <w:p>
            <w:pPr>
              <w:ind w:firstLine="480"/>
              <w:tabs>
                <w:tab w:val="center" w:pos="4153" w:leader="none"/>
                <w:tab w:val="right" w:pos="8306" w:leader="none"/>
              </w:tabs>
              <w:rPr>
                <w:sz w:val="24"/>
                <w:szCs w:val="24"/>
                <w:highlight w:val="none"/>
              </w:rPr>
            </w:pPr>
            <w:r>
              <w:rPr>
                <w:sz w:val="24"/>
                <w:szCs w:val="24"/>
                <w:highlight w:val="none"/>
              </w:rPr>
              <w:t xml:space="preserve">2</w:t>
            </w:r>
            <w:r>
              <w:rPr>
                <w:rFonts w:hint="eastAsia"/>
                <w:sz w:val="24"/>
                <w:szCs w:val="24"/>
                <w:highlight w:val="none"/>
              </w:rPr>
              <w:t xml:space="preserve">.拟投入本项目运维技术人员（不含项目负责人）具有</w:t>
            </w:r>
            <w:r>
              <w:rPr>
                <w:sz w:val="24"/>
                <w:szCs w:val="24"/>
                <w:highlight w:val="none"/>
              </w:rPr>
              <w:t xml:space="preserve">地表水运行维护相关证书，</w:t>
            </w:r>
            <w:r>
              <w:rPr>
                <w:rFonts w:hint="eastAsia"/>
                <w:sz w:val="24"/>
                <w:szCs w:val="24"/>
                <w:highlight w:val="none"/>
              </w:rPr>
              <w:t xml:space="preserve">每有1个得1分</w:t>
            </w:r>
            <w:r>
              <w:rPr>
                <w:sz w:val="24"/>
                <w:szCs w:val="24"/>
                <w:highlight w:val="none"/>
              </w:rPr>
              <w:t xml:space="preserve">，</w:t>
            </w:r>
            <w:r>
              <w:rPr>
                <w:rFonts w:hint="eastAsia"/>
                <w:sz w:val="24"/>
                <w:szCs w:val="24"/>
                <w:highlight w:val="none"/>
              </w:rPr>
              <w:t xml:space="preserve">本项最高</w:t>
            </w:r>
            <w:r>
              <w:rPr>
                <w:sz w:val="24"/>
                <w:szCs w:val="24"/>
                <w:highlight w:val="none"/>
              </w:rPr>
              <w:t xml:space="preserve">得8分。</w:t>
            </w:r>
            <w:r/>
          </w:p>
          <w:p>
            <w:pPr>
              <w:ind w:firstLine="480"/>
              <w:tabs>
                <w:tab w:val="center" w:pos="4153" w:leader="none"/>
                <w:tab w:val="right" w:pos="8306" w:leader="none"/>
              </w:tabs>
              <w:rPr>
                <w:sz w:val="24"/>
                <w:szCs w:val="24"/>
                <w:highlight w:val="none"/>
              </w:rPr>
            </w:pPr>
            <w:r>
              <w:rPr>
                <w:rFonts w:hint="eastAsia"/>
                <w:sz w:val="24"/>
                <w:szCs w:val="24"/>
                <w:highlight w:val="none"/>
              </w:rPr>
              <w:t xml:space="preserve">3.拟投入本项目的项目组成员（不含项目负责人）中具有1名环境工程类或化学工程类工程师及以上职称的得2分，最高得2分；具有1名数据库系统工程师职称的得2分，最高得2分；项目团队有1名取得安全管理人员证书或电气工程师职称的得2分，最高得2分；具有1名低压电工特种作业操作证的得</w:t>
            </w:r>
            <w:r>
              <w:rPr>
                <w:rFonts w:hint="eastAsia"/>
                <w:sz w:val="24"/>
                <w:szCs w:val="24"/>
                <w:highlight w:val="none"/>
                <w:lang w:val="en-US" w:eastAsia="zh-CN"/>
              </w:rPr>
              <w:t xml:space="preserve">2</w:t>
            </w:r>
            <w:r>
              <w:rPr>
                <w:rFonts w:hint="eastAsia"/>
                <w:sz w:val="24"/>
                <w:szCs w:val="24"/>
                <w:highlight w:val="none"/>
              </w:rPr>
              <w:t xml:space="preserve">分，最高得</w:t>
            </w:r>
            <w:r>
              <w:rPr>
                <w:rFonts w:hint="eastAsia"/>
                <w:sz w:val="24"/>
                <w:szCs w:val="24"/>
                <w:highlight w:val="none"/>
                <w:lang w:val="en-US" w:eastAsia="zh-CN"/>
              </w:rPr>
              <w:t xml:space="preserve">2</w:t>
            </w:r>
            <w:r>
              <w:rPr>
                <w:rFonts w:hint="eastAsia"/>
                <w:sz w:val="24"/>
                <w:szCs w:val="24"/>
                <w:highlight w:val="none"/>
              </w:rPr>
              <w:t xml:space="preserve">分；本项目最高得</w:t>
            </w:r>
            <w:r>
              <w:rPr>
                <w:rFonts w:hint="eastAsia"/>
                <w:sz w:val="24"/>
                <w:szCs w:val="24"/>
                <w:highlight w:val="none"/>
                <w:lang w:val="en-US" w:eastAsia="zh-CN"/>
              </w:rPr>
              <w:t xml:space="preserve">8</w:t>
            </w:r>
            <w:r>
              <w:rPr>
                <w:rFonts w:hint="eastAsia"/>
                <w:sz w:val="24"/>
                <w:szCs w:val="24"/>
                <w:highlight w:val="none"/>
              </w:rPr>
              <w:t xml:space="preserve">分。同一人员不得重复计分，且按照最高分值项目计分，没有不得分。</w:t>
            </w:r>
            <w:r/>
          </w:p>
          <w:p>
            <w:pPr>
              <w:ind w:firstLine="480"/>
              <w:jc w:val="left"/>
              <w:spacing w:line="360" w:lineRule="exact"/>
              <w:rPr>
                <w:rFonts w:hint="eastAsia" w:ascii="宋体" w:hAnsi="宋体" w:cs="宋体"/>
                <w:sz w:val="24"/>
                <w:szCs w:val="24"/>
                <w:highlight w:val="none"/>
              </w:rPr>
            </w:pPr>
            <w:r>
              <w:rPr>
                <w:sz w:val="24"/>
                <w:szCs w:val="24"/>
                <w:highlight w:val="none"/>
              </w:rPr>
              <w:t xml:space="preserve">注：</w:t>
            </w:r>
            <w:r>
              <w:rPr>
                <w:rFonts w:hint="eastAsia"/>
                <w:sz w:val="24"/>
                <w:szCs w:val="24"/>
                <w:highlight w:val="none"/>
              </w:rPr>
              <w:t xml:space="preserve">以上人员</w:t>
            </w:r>
            <w:r>
              <w:rPr>
                <w:rFonts w:hint="eastAsia"/>
                <w:sz w:val="24"/>
                <w:szCs w:val="24"/>
                <w:highlight w:val="none"/>
                <w:lang w:val="en-US" w:eastAsia="zh-CN"/>
              </w:rPr>
              <w:t xml:space="preserve">响应文件中</w:t>
            </w:r>
            <w:r>
              <w:rPr>
                <w:rFonts w:hint="eastAsia"/>
                <w:sz w:val="24"/>
                <w:szCs w:val="24"/>
                <w:highlight w:val="none"/>
              </w:rPr>
              <w:t xml:space="preserve">提供有效证书</w:t>
            </w:r>
            <w:r>
              <w:rPr>
                <w:rFonts w:hint="eastAsia"/>
                <w:sz w:val="24"/>
                <w:szCs w:val="24"/>
                <w:highlight w:val="none"/>
                <w:lang w:eastAsia="zh-CN"/>
              </w:rPr>
              <w:t xml:space="preserve">原件电子件</w:t>
            </w:r>
            <w:r>
              <w:rPr>
                <w:rFonts w:hint="eastAsia"/>
                <w:sz w:val="24"/>
                <w:szCs w:val="24"/>
                <w:highlight w:val="none"/>
              </w:rPr>
              <w:t xml:space="preserve">和响应文件递交截止时间前六个月内本单位为其办理的任意1个月社会养老保险或医疗保险缴纳证明（</w:t>
            </w:r>
            <w:r>
              <w:rPr>
                <w:rFonts w:hint="eastAsia"/>
                <w:sz w:val="24"/>
                <w:szCs w:val="24"/>
                <w:highlight w:val="none"/>
                <w:lang w:val="en-US" w:eastAsia="zh-CN"/>
              </w:rPr>
              <w:t xml:space="preserve">供应商公司</w:t>
            </w:r>
            <w:r>
              <w:rPr>
                <w:rFonts w:hint="eastAsia"/>
                <w:sz w:val="24"/>
                <w:szCs w:val="24"/>
                <w:highlight w:val="none"/>
              </w:rPr>
              <w:t xml:space="preserve">成立不足一个月的可不提供），</w:t>
            </w:r>
            <w:r>
              <w:rPr>
                <w:rFonts w:hint="eastAsia" w:ascii="宋体" w:hAnsi="宋体" w:cs="宋体"/>
                <w:sz w:val="24"/>
                <w:szCs w:val="24"/>
                <w:highlight w:val="none"/>
              </w:rPr>
              <w:t xml:space="preserve">如职称证书无法体现专业的，需提供职称评审表或毕业证书证明，</w:t>
            </w:r>
            <w:r>
              <w:rPr>
                <w:rFonts w:hint="eastAsia"/>
                <w:sz w:val="24"/>
                <w:szCs w:val="24"/>
                <w:highlight w:val="none"/>
              </w:rPr>
              <w:t xml:space="preserve">否则不得分。</w:t>
            </w:r>
            <w:r/>
          </w:p>
        </w:tc>
      </w:tr>
      <w:tr>
        <w:trPr/>
        <w:tc>
          <w:tcPr>
            <w:tcW w:w="1117" w:type="dxa"/>
            <w:vAlign w:val="center"/>
            <w:vMerge w:val="continue"/>
            <w:textDirection w:val="lrTb"/>
            <w:noWrap w:val="false"/>
          </w:tcPr>
          <w:p>
            <w:pPr>
              <w:jc w:val="center"/>
              <w:spacing w:line="360" w:lineRule="exact"/>
              <w:rPr>
                <w:rFonts w:hint="eastAsia" w:ascii="宋体" w:hAnsi="宋体" w:cs="宋体"/>
                <w:sz w:val="24"/>
                <w:szCs w:val="24"/>
                <w:highlight w:val="none"/>
              </w:rPr>
            </w:pPr>
            <w:r/>
            <w:bookmarkStart w:id="83" w:name="EB9fc9bd0651534134824972d053d71a11"/>
            <w:r/>
            <w:r/>
          </w:p>
        </w:tc>
        <w:tc>
          <w:tcPr>
            <w:tcW w:w="132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实验室</w:t>
            </w:r>
            <w:r/>
          </w:p>
        </w:tc>
        <w:tc>
          <w:tcPr>
            <w:tcW w:w="1214" w:type="dxa"/>
            <w:vAlign w:val="center"/>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.00</w:t>
            </w:r>
            <w:r/>
          </w:p>
        </w:tc>
        <w:tc>
          <w:tcPr>
            <w:tcW w:w="5593" w:type="dxa"/>
            <w:vAlign w:val="center"/>
            <w:textDirection w:val="lrTb"/>
            <w:noWrap w:val="false"/>
          </w:tcPr>
          <w:p>
            <w:pPr>
              <w:ind w:firstLine="48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投标供应商距离宿迁3小时车程内有实验室或者承诺成交后两周内与第三方实验室签订合作协议且满足本项目的需求（自建或第三方实验室必须获得相应资质，具备五参数、高锰酸盐指数、氨氮、总磷、总氮、挥发酚、挥发性有机物、生物毒性（急性毒性）、藻密度（浮游植物）、铅、镉、锌、砷分析能力），且能在48小时内提供监测报告，生物毒性（急性毒性）、藻密度（浮游植物）具有便携式现场分析能力也视为符合要求，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ind w:firstLine="48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备注：提供自建实验室资质证明或承诺书，需加盖供应商公章，原件在成交后备查），未提供不得分。</w:t>
            </w:r>
            <w:r/>
          </w:p>
        </w:tc>
      </w:tr>
      <w:tr>
        <w:trPr/>
        <w:tc>
          <w:tcPr>
            <w:tcW w:w="1117" w:type="dxa"/>
            <w:vAlign w:val="center"/>
            <w:vMerge w:val="continue"/>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2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备机、备件</w:t>
            </w:r>
            <w:r/>
          </w:p>
        </w:tc>
        <w:tc>
          <w:tcPr>
            <w:tcW w:w="121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.00</w:t>
            </w:r>
            <w:r/>
          </w:p>
        </w:tc>
        <w:tc>
          <w:tcPr>
            <w:tcW w:w="5593" w:type="dxa"/>
            <w:vAlign w:val="center"/>
            <w:textDirection w:val="lrTb"/>
            <w:noWrap w:val="false"/>
          </w:tcPr>
          <w:p>
            <w:pPr>
              <w:ind w:firstLine="480"/>
              <w:jc w:val="left"/>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供应商提供五参数、高锰酸盐指数、氨氮、总磷、总氮、挥发酚、挥发性有机物、铅、镉、锌、砷备机，每7台同类仪器配备一台备机（同类仪器少于7台的，也配备一台备机），已配备或承诺成交后（合同签订后两周内）配备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分，不配备备机的不得分。氨氮</w:t>
            </w:r>
            <w:r>
              <w:rPr>
                <w:rFonts w:hint="eastAsia" w:ascii="宋体" w:hAnsi="宋体" w:cs="宋体"/>
                <w:color w:val="auto"/>
                <w:sz w:val="24"/>
                <w:szCs w:val="24"/>
                <w:highlight w:val="none"/>
                <w:lang w:val="en-US" w:eastAsia="zh-CN"/>
              </w:rPr>
              <w:t xml:space="preserve">备机配备10台及以上的得3分。</w:t>
            </w:r>
            <w:r>
              <w:rPr>
                <w:rFonts w:hint="eastAsia" w:ascii="宋体" w:hAnsi="宋体" w:cs="宋体"/>
                <w:color w:val="auto"/>
                <w:sz w:val="24"/>
                <w:szCs w:val="24"/>
                <w:highlight w:val="none"/>
              </w:rPr>
              <w:t xml:space="preserve">其中挥发酚、挥发性有机物、铅、镉、锌、砷仪器备机，允许24小时内从外地调拨（提供承诺函）。</w:t>
            </w:r>
            <w:r/>
          </w:p>
          <w:p>
            <w:pPr>
              <w:ind w:firstLine="48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2.供应商承诺提供的备品备件为原厂供应渠道的得2分，不提供不得分。</w:t>
            </w:r>
            <w:r/>
          </w:p>
          <w:p>
            <w:pPr>
              <w:ind w:firstLine="48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备注：以上各项均需提供证明材料或加盖</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公章的承诺函，未提供或提供不全的不得分。</w:t>
            </w:r>
            <w:r/>
          </w:p>
        </w:tc>
      </w:tr>
    </w:tbl>
    <w:p>
      <w:pPr>
        <w:ind w:firstLine="403"/>
        <w:spacing w:before="120" w:line="500" w:lineRule="exact"/>
        <w:rPr>
          <w:rFonts w:hint="eastAsia" w:ascii="宋体" w:hAnsi="宋体" w:cs="宋体"/>
          <w:b/>
          <w:sz w:val="24"/>
          <w:szCs w:val="24"/>
          <w:highlight w:val="none"/>
        </w:rPr>
      </w:pPr>
      <w:r>
        <w:rPr>
          <w:rFonts w:hint="eastAsia" w:ascii="宋体" w:hAnsi="宋体" w:cs="宋体"/>
          <w:sz w:val="20"/>
          <w:highlight w:val="none"/>
        </w:rPr>
        <w:t xml:space="preserve"> </w:t>
      </w:r>
      <w:bookmarkEnd w:id="83"/>
      <w:r>
        <w:rPr>
          <w:rFonts w:hint="eastAsia" w:ascii="宋体" w:hAnsi="宋体" w:cs="宋体"/>
          <w:sz w:val="24"/>
          <w:szCs w:val="24"/>
          <w:highlight w:val="none"/>
        </w:rPr>
        <w:t xml:space="preserve">（三）</w:t>
      </w:r>
      <w:r>
        <w:rPr>
          <w:rFonts w:hint="eastAsia" w:ascii="宋体" w:hAnsi="宋体" w:cs="宋体"/>
          <w:b/>
          <w:sz w:val="24"/>
          <w:szCs w:val="24"/>
          <w:highlight w:val="none"/>
        </w:rPr>
        <w:t xml:space="preserve">评标结果。</w:t>
      </w:r>
      <w:r>
        <w:rPr>
          <w:rFonts w:hint="eastAsia" w:ascii="宋体" w:hAnsi="宋体" w:cs="宋体"/>
          <w:sz w:val="24"/>
          <w:szCs w:val="24"/>
          <w:highlight w:val="none"/>
        </w:rPr>
        <w:t xml:space="preserve">磋商小组按照本办法规定推荐成交候选人，并形成评标报告。</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（四）政府采购政策功能落实</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本项目落实的政府采购政策对应以下序号为</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 </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1.采购本国货物、工程和服务</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2.中小企业政策</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本项目按以下第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种政策确定本项目落实的中小企业政策：</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（1）本项目专门面向中小企业（含监狱企业、残疾人福利企业）采购。</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（2）投标人提供的货物、工程或者服务符合下列情形的，对小微企业报价给予  /  %（工程项目为  /  %）的扣除，用扣除后的价格参加评审。    </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（一）在货物采购项目中，货物由中小企业制造，即货物由中小企业生产且使用该中小企业商号或者注册商标；</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（二）在工程采购项目中，工程由中小企业承建，即工程施工单位为中小企业；</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（三）在服务采购项目中，服务由中小企业承接，即提供服务的人员为中小企业依照《中华人民共和国民法典》订立劳动合同的从业人员。</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中上传加盖出具单位公章的电子件）。</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3.政府采购节能产品、环境标志产品</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（3）采购人拟采购的产品属于优先采购的节能环保品目清单范围的，按以下条件优先采购：</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采用综合评分法的项目，对提供有效节能环保证书的投标人加分。</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4.商品包装、快递包装政府采购需求标准（试行）</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5、绿色数据中心政府采购需求标准（试行）</w:t>
      </w:r>
      <w:r/>
    </w:p>
    <w:p>
      <w:pPr>
        <w:ind w:firstLine="403"/>
        <w:spacing w:before="12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500" w:lineRule="exact"/>
        <w:rPr>
          <w:rFonts w:hint="eastAsia" w:ascii="宋体" w:hAnsi="宋体" w:cs="宋体"/>
          <w:szCs w:val="21"/>
          <w:highlight w:val="none"/>
        </w:rPr>
      </w:pPr>
      <w:r>
        <w:rPr>
          <w:rFonts w:hint="eastAsia" w:ascii="宋体" w:hAnsi="宋体" w:cs="宋体"/>
          <w:szCs w:val="21"/>
          <w:highlight w:val="none"/>
        </w:rPr>
        <w:br w:type="page" w:clear="all"/>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jc w:val="center"/>
        <w:keepNext/>
        <w:rPr>
          <w:rFonts w:hint="eastAsia" w:ascii="宋体" w:hAnsi="宋体" w:cs="宋体"/>
          <w:b/>
          <w:sz w:val="44"/>
          <w:szCs w:val="28"/>
          <w:highlight w:val="none"/>
        </w:rPr>
        <w:outlineLvl w:val="0"/>
      </w:pPr>
      <w:r/>
      <w:bookmarkStart w:id="84" w:name="_Toc7809"/>
      <w:r>
        <w:rPr>
          <w:rFonts w:hint="eastAsia" w:ascii="宋体" w:hAnsi="宋体" w:cs="宋体"/>
          <w:b/>
          <w:sz w:val="44"/>
          <w:szCs w:val="28"/>
          <w:highlight w:val="none"/>
        </w:rPr>
        <w:t xml:space="preserve">第六章  </w:t>
      </w:r>
      <w:bookmarkEnd w:id="77"/>
      <w:r/>
      <w:bookmarkEnd w:id="78"/>
      <w:r/>
      <w:bookmarkEnd w:id="79"/>
      <w:r>
        <w:rPr>
          <w:rFonts w:hint="eastAsia" w:ascii="宋体" w:hAnsi="宋体" w:cs="宋体"/>
          <w:b/>
          <w:sz w:val="44"/>
          <w:szCs w:val="28"/>
          <w:highlight w:val="none"/>
        </w:rPr>
        <w:t xml:space="preserve">响应文件格式</w:t>
      </w:r>
      <w:bookmarkEnd w:id="84"/>
      <w:r>
        <w:rPr>
          <w:rFonts w:hint="eastAsia" w:ascii="宋体" w:hAnsi="宋体" w:cs="宋体"/>
          <w:b/>
          <w:sz w:val="44"/>
          <w:szCs w:val="28"/>
          <w:highlight w:val="none"/>
        </w:rPr>
        <w:t xml:space="preserve"> </w:t>
      </w:r>
      <w:r/>
    </w:p>
    <w:p>
      <w:pPr>
        <w:jc w:val="center"/>
        <w:rPr>
          <w:rFonts w:hint="eastAsia" w:ascii="宋体" w:hAnsi="宋体" w:cs="宋体"/>
          <w:b/>
          <w:sz w:val="72"/>
          <w:szCs w:val="21"/>
          <w:highlight w:val="none"/>
        </w:rPr>
      </w:pPr>
      <w:r/>
      <w:bookmarkStart w:id="85" w:name="_Hlt26671244"/>
      <w:r/>
      <w:bookmarkEnd w:id="85"/>
      <w:r/>
      <w:bookmarkStart w:id="86" w:name="_Hlt26955039"/>
      <w:r/>
      <w:bookmarkEnd w:id="86"/>
      <w:r/>
      <w:bookmarkStart w:id="87" w:name="_Toc120614282"/>
      <w:r/>
      <w:bookmarkStart w:id="88" w:name="_Toc49090576"/>
      <w:r/>
      <w:bookmarkStart w:id="89" w:name="_Toc26554094"/>
      <w:r/>
      <w:r/>
    </w:p>
    <w:p>
      <w:pPr>
        <w:jc w:val="center"/>
        <w:rPr>
          <w:rFonts w:hint="eastAsia" w:ascii="宋体" w:hAnsi="宋体" w:cs="宋体"/>
          <w:b/>
          <w:sz w:val="72"/>
          <w:szCs w:val="21"/>
          <w:highlight w:val="none"/>
        </w:rPr>
      </w:pPr>
      <w:r>
        <w:rPr>
          <w:rFonts w:hint="eastAsia" w:ascii="宋体" w:hAnsi="宋体" w:cs="宋体"/>
          <w:b/>
          <w:sz w:val="72"/>
          <w:szCs w:val="21"/>
          <w:highlight w:val="none"/>
        </w:rPr>
        <w:t xml:space="preserve">响  应  文  件</w:t>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72"/>
          <w:szCs w:val="21"/>
          <w:highlight w:val="none"/>
        </w:rPr>
      </w:pPr>
      <w:r>
        <w:rPr>
          <w:rFonts w:hint="eastAsia" w:ascii="宋体" w:hAnsi="宋体" w:cs="宋体"/>
          <w:b/>
          <w:sz w:val="72"/>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jc w:val="center"/>
        <w:rPr>
          <w:rFonts w:hint="eastAsia" w:ascii="宋体" w:hAnsi="宋体" w:cs="宋体"/>
          <w:b/>
          <w:sz w:val="36"/>
          <w:szCs w:val="21"/>
          <w:highlight w:val="none"/>
        </w:rPr>
      </w:pPr>
      <w:r>
        <w:rPr>
          <w:rFonts w:hint="eastAsia" w:ascii="宋体" w:hAnsi="宋体" w:cs="宋体"/>
          <w:b/>
          <w:sz w:val="36"/>
          <w:szCs w:val="21"/>
          <w:highlight w:val="none"/>
        </w:rPr>
      </w:r>
      <w:r/>
    </w:p>
    <w:p>
      <w:pPr>
        <w:ind w:firstLine="1084"/>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hint="eastAsia"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rPr>
          <w:rFonts w:hint="eastAsia" w:ascii="宋体" w:hAnsi="宋体" w:cs="宋体"/>
          <w:b/>
          <w:sz w:val="36"/>
          <w:highlight w:val="none"/>
          <w:u w:val="single"/>
        </w:rPr>
      </w:pPr>
      <w:r>
        <w:rPr>
          <w:rFonts w:hint="eastAsia" w:ascii="宋体" w:hAnsi="宋体" w:cs="宋体"/>
          <w:b/>
          <w:sz w:val="36"/>
          <w:highlight w:val="none"/>
        </w:rPr>
        <w:t xml:space="preserve">      供应商名称 ：</w:t>
      </w:r>
      <w:r>
        <w:rPr>
          <w:rFonts w:hint="eastAsia" w:ascii="宋体" w:hAnsi="宋体" w:cs="宋体"/>
          <w:b/>
          <w:sz w:val="36"/>
          <w:highlight w:val="none"/>
          <w:u w:val="single"/>
        </w:rPr>
        <w:t xml:space="preserve">（加盖CA电子公章）</w:t>
      </w:r>
      <w:r/>
    </w:p>
    <w:p>
      <w:pPr>
        <w:rPr>
          <w:rFonts w:hint="eastAsia"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spacing w:line="440" w:lineRule="exact"/>
        <w:rPr>
          <w:rFonts w:hint="eastAsia" w:ascii="宋体" w:hAnsi="宋体" w:cs="宋体"/>
          <w:szCs w:val="21"/>
          <w:highlight w:val="none"/>
        </w:rPr>
      </w:pPr>
      <w:r>
        <w:rPr>
          <w:rFonts w:hint="eastAsia" w:ascii="宋体" w:hAnsi="宋体" w:cs="宋体"/>
          <w:szCs w:val="21"/>
          <w:highlight w:val="none"/>
        </w:rPr>
      </w:r>
      <w:r/>
    </w:p>
    <w:p>
      <w:pPr>
        <w:ind w:firstLine="1084"/>
        <w:rPr>
          <w:rFonts w:hint="eastAsia" w:ascii="宋体" w:hAnsi="宋体" w:cs="宋体"/>
          <w:b/>
          <w:bCs/>
          <w:sz w:val="32"/>
          <w:szCs w:val="32"/>
          <w:highlight w:val="none"/>
        </w:rPr>
      </w:pPr>
      <w:r>
        <w:rPr>
          <w:rFonts w:hint="eastAsia" w:ascii="宋体" w:hAnsi="宋体" w:cs="宋体"/>
          <w:b/>
          <w:sz w:val="36"/>
          <w:szCs w:val="21"/>
          <w:highlight w:val="none"/>
          <w:u w:val="single"/>
        </w:rPr>
        <w:br w:type="page" w:clear="all"/>
      </w:r>
      <w:r/>
    </w:p>
    <w:p>
      <w:pPr>
        <w:jc w:val="center"/>
        <w:spacing w:line="440" w:lineRule="exact"/>
        <w:rPr>
          <w:rFonts w:hint="eastAsia" w:ascii="宋体" w:hAnsi="宋体" w:cs="宋体"/>
          <w:b/>
          <w:bCs/>
          <w:sz w:val="32"/>
          <w:szCs w:val="32"/>
          <w:highlight w:val="none"/>
        </w:rPr>
        <w:outlineLvl w:val="1"/>
      </w:pPr>
      <w:r/>
      <w:bookmarkStart w:id="90" w:name="_Toc10458"/>
      <w:r>
        <w:rPr>
          <w:rFonts w:hint="eastAsia" w:ascii="宋体" w:hAnsi="宋体" w:cs="宋体"/>
          <w:b/>
          <w:bCs/>
          <w:sz w:val="32"/>
          <w:szCs w:val="32"/>
          <w:highlight w:val="none"/>
        </w:rPr>
        <w:t xml:space="preserve">响应文件目录</w:t>
      </w:r>
      <w:bookmarkEnd w:id="90"/>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numPr>
          <w:ilvl w:val="0"/>
          <w:numId w:val="5"/>
        </w:num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磋商申请及声明</w:t>
      </w:r>
      <w:r/>
    </w:p>
    <w:p>
      <w:pPr>
        <w:numPr>
          <w:ilvl w:val="0"/>
          <w:numId w:val="5"/>
        </w:num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供应商基本信息</w:t>
      </w:r>
      <w:r/>
    </w:p>
    <w:p>
      <w:pPr>
        <w:numPr>
          <w:ilvl w:val="0"/>
          <w:numId w:val="5"/>
        </w:num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特定资格要求的证明文件</w:t>
      </w:r>
      <w:r/>
    </w:p>
    <w:p>
      <w:pPr>
        <w:numPr>
          <w:ilvl w:val="0"/>
          <w:numId w:val="5"/>
        </w:num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法人授权书</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五、中小企业声明函</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六、报价一览表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七、分项报价表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八、技术要求响应及偏离表</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九、项目组人员</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十、企业业绩</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十一、磋商所需其他材料</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十二、质疑函范本</w:t>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rPr>
          <w:rFonts w:hint="eastAsia" w:ascii="宋体" w:hAnsi="宋体" w:cs="宋体"/>
          <w:b/>
          <w:iCs/>
          <w:sz w:val="32"/>
          <w:szCs w:val="32"/>
          <w:highlight w:val="none"/>
        </w:rPr>
        <w:outlineLvl w:val="1"/>
      </w:pPr>
      <w:r/>
      <w:bookmarkStart w:id="91" w:name="_Toc29921"/>
      <w:r>
        <w:rPr>
          <w:rFonts w:hint="eastAsia" w:ascii="宋体" w:hAnsi="宋体" w:cs="宋体"/>
          <w:b/>
          <w:iCs/>
          <w:sz w:val="32"/>
          <w:szCs w:val="32"/>
          <w:highlight w:val="none"/>
        </w:rPr>
        <w:t xml:space="preserve">一、磋商申请及声明</w:t>
      </w:r>
      <w:bookmarkEnd w:id="91"/>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响应声明及承诺函</w:t>
      </w:r>
      <w:r/>
    </w:p>
    <w:p>
      <w:pPr>
        <w:pStyle w:val="1078"/>
        <w:jc w:val="left"/>
        <w:spacing w:line="5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宿迁市生态环境监测监控服务中心</w:t>
      </w:r>
      <w:r>
        <w:rPr>
          <w:rFonts w:hint="eastAsia" w:ascii="宋体" w:hAnsi="宋体" w:cs="宋体"/>
          <w:sz w:val="24"/>
          <w:szCs w:val="24"/>
          <w:highlight w:val="none"/>
        </w:rPr>
        <w:t xml:space="preserve">：</w:t>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项目的竞争性磋商文件，我单位在参加本项目竞争性磋商活动中，特做出如下承诺：</w:t>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一、我方</w:t>
      </w:r>
      <w:r>
        <w:rPr>
          <w:rFonts w:hint="eastAsia" w:ascii="宋体" w:hAnsi="宋体" w:cs="宋体"/>
          <w:sz w:val="24"/>
          <w:highlight w:val="none"/>
        </w:rPr>
        <w:t xml:space="preserve">具备《中华人民共和国政府采购法》第二十二条第一款规定的6项条件；</w:t>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三、我方按磋商文件要求提交响应文件，响应磋商文件规定的响应有效期；</w:t>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五、我方若违背本声明及承诺约定，经查实，自愿接受采购人及相关主管部门相应的规定处理，并依法承担相应的法律责任。</w:t>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六、我方同意采购人、采购代理机构将本声明及承诺函上网公开。</w:t>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78"/>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78"/>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供应商名称：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rPr>
      </w:pPr>
      <w:r>
        <w:rPr>
          <w:rFonts w:hint="eastAsia" w:ascii="宋体" w:hAnsi="宋体" w:cs="宋体"/>
          <w:sz w:val="24"/>
          <w:szCs w:val="24"/>
        </w:rPr>
      </w:r>
      <w:bookmarkEnd w:id="87"/>
      <w:r/>
      <w:bookmarkEnd w:id="88"/>
      <w:r/>
      <w:bookmarkEnd w:id="89"/>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pStyle w:val="1092"/>
        <w:rPr>
          <w:rFonts w:hint="eastAsia" w:ascii="宋体" w:hAnsi="宋体" w:eastAsia="宋体" w:cs="宋体"/>
        </w:rPr>
        <w:outlineLvl w:val="1"/>
      </w:pPr>
      <w:r/>
      <w:bookmarkStart w:id="92" w:name="_Toc27399"/>
      <w:r/>
      <w:bookmarkStart w:id="93" w:name="_Toc120614284"/>
      <w:r>
        <w:rPr>
          <w:rFonts w:hint="eastAsia" w:ascii="宋体" w:hAnsi="宋体" w:eastAsia="宋体" w:cs="宋体"/>
          <w:iCs/>
          <w:szCs w:val="32"/>
        </w:rPr>
        <w:br w:type="page" w:clear="all"/>
      </w:r>
      <w:bookmarkStart w:id="94" w:name="_Toc17357"/>
      <w:r>
        <w:rPr>
          <w:rFonts w:hint="eastAsia" w:ascii="宋体" w:hAnsi="宋体" w:eastAsia="宋体" w:cs="宋体"/>
          <w:iCs/>
          <w:szCs w:val="32"/>
        </w:rPr>
        <w:t xml:space="preserve">二、供应商基本信息</w:t>
      </w:r>
      <w:bookmarkEnd w:id="92"/>
      <w:r/>
      <w:bookmarkEnd w:id="94"/>
      <w:r/>
      <w:r/>
    </w:p>
    <w:p>
      <w:pPr>
        <w:pStyle w:val="1078"/>
        <w:jc w:val="center"/>
        <w:rPr>
          <w:rFonts w:hint="eastAsia" w:ascii="宋体" w:hAnsi="宋体" w:cs="宋体"/>
          <w:b/>
          <w:sz w:val="32"/>
          <w:szCs w:val="32"/>
        </w:rPr>
      </w:pPr>
      <w:r>
        <w:rPr>
          <w:rFonts w:hint="eastAsia" w:ascii="宋体" w:hAnsi="宋体" w:cs="宋体"/>
          <w:b/>
          <w:sz w:val="32"/>
          <w:szCs w:val="32"/>
        </w:rPr>
        <w:t xml:space="preserve">供应商基本情况表</w:t>
      </w:r>
      <w:r/>
    </w:p>
    <w:tbl>
      <w:tblPr>
        <w:tblStyle w:val="744"/>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供应商名称</w:t>
            </w:r>
            <w:r/>
          </w:p>
        </w:tc>
        <w:tc>
          <w:tcPr>
            <w:gridSpan w:val="3"/>
            <w:tcW w:w="6998"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r>
      <w:tr>
        <w:trPr>
          <w:jc w:val="center"/>
        </w:trPr>
        <w:tc>
          <w:tcPr>
            <w:tcW w:w="152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r>
      <w:tr>
        <w:trPr>
          <w:jc w:val="center"/>
        </w:trPr>
        <w:tc>
          <w:tcPr>
            <w:tcW w:w="152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r>
      <w:tr>
        <w:trPr>
          <w:jc w:val="center"/>
        </w:trPr>
        <w:tc>
          <w:tcPr>
            <w:tcW w:w="152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r>
      <w:tr>
        <w:trPr>
          <w:jc w:val="center"/>
        </w:trPr>
        <w:tc>
          <w:tcPr>
            <w:tcW w:w="152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r>
      <w:tr>
        <w:trPr>
          <w:jc w:val="center"/>
        </w:trPr>
        <w:tc>
          <w:tcPr>
            <w:tcW w:w="152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供应商类别</w:t>
            </w:r>
            <w:r/>
          </w:p>
        </w:tc>
        <w:tc>
          <w:tcPr>
            <w:gridSpan w:val="3"/>
            <w:tcW w:w="6998"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r>
      <w:tr>
        <w:trPr>
          <w:jc w:val="center"/>
        </w:trPr>
        <w:tc>
          <w:tcPr>
            <w:tcW w:w="152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r>
      <w:tr>
        <w:trPr>
          <w:jc w:val="center"/>
        </w:trPr>
        <w:tc>
          <w:tcPr>
            <w:tcW w:w="152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val="false"/>
          </w:tcPr>
          <w:p>
            <w:pPr>
              <w:pStyle w:val="1093"/>
              <w:jc w:val="center"/>
              <w:spacing w:line="600" w:lineRule="exact"/>
              <w:rPr>
                <w:rFonts w:hint="eastAsia" w:ascii="宋体" w:hAnsi="宋体" w:cs="宋体"/>
                <w:sz w:val="24"/>
                <w:szCs w:val="24"/>
              </w:rPr>
            </w:pPr>
            <w:r>
              <w:rPr>
                <w:rFonts w:hint="eastAsia" w:ascii="宋体" w:hAnsi="宋体" w:cs="宋体"/>
                <w:sz w:val="24"/>
                <w:szCs w:val="24"/>
              </w:rPr>
            </w:r>
            <w:r/>
          </w:p>
        </w:tc>
      </w:tr>
      <w:tr>
        <w:trPr>
          <w:jc w:val="center"/>
          <w:trHeight w:val="2376"/>
        </w:trPr>
        <w:tc>
          <w:tcPr>
            <w:tcW w:w="1526" w:type="dxa"/>
            <w:vAlign w:val="center"/>
            <w:textDirection w:val="lrTb"/>
            <w:noWrap w:val="false"/>
          </w:tcPr>
          <w:p>
            <w:pPr>
              <w:pStyle w:val="1093"/>
              <w:jc w:val="center"/>
              <w:spacing w:line="560" w:lineRule="exact"/>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val="false"/>
          </w:tcPr>
          <w:p>
            <w:pPr>
              <w:pStyle w:val="1093"/>
              <w:ind w:firstLine="1433"/>
              <w:spacing w:line="560" w:lineRule="exact"/>
              <w:rPr>
                <w:rFonts w:hint="eastAsia" w:ascii="宋体" w:hAnsi="宋体" w:cs="宋体"/>
                <w:sz w:val="24"/>
                <w:szCs w:val="24"/>
              </w:rPr>
            </w:pPr>
            <w:r>
              <w:rPr>
                <w:rFonts w:hint="eastAsia" w:ascii="宋体" w:hAnsi="宋体" w:cs="宋体"/>
                <w:sz w:val="24"/>
                <w:szCs w:val="24"/>
              </w:rPr>
            </w:r>
            <w:r/>
          </w:p>
        </w:tc>
      </w:tr>
      <w:tr>
        <w:trPr>
          <w:jc w:val="center"/>
          <w:trHeight w:val="1134"/>
        </w:trPr>
        <w:tc>
          <w:tcPr>
            <w:tcW w:w="1526" w:type="dxa"/>
            <w:vAlign w:val="center"/>
            <w:textDirection w:val="lrTb"/>
            <w:noWrap w:val="false"/>
          </w:tcPr>
          <w:p>
            <w:pPr>
              <w:pStyle w:val="1093"/>
              <w:jc w:val="center"/>
              <w:spacing w:line="560" w:lineRule="exact"/>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val="false"/>
          </w:tcPr>
          <w:p>
            <w:pPr>
              <w:pStyle w:val="1093"/>
              <w:jc w:val="center"/>
              <w:spacing w:line="500" w:lineRule="exact"/>
              <w:rPr>
                <w:rFonts w:hint="eastAsia" w:ascii="宋体" w:hAnsi="宋体" w:cs="宋体"/>
                <w:sz w:val="24"/>
                <w:szCs w:val="24"/>
              </w:rPr>
            </w:pPr>
            <w:r>
              <w:rPr>
                <w:rFonts w:hint="eastAsia" w:ascii="宋体" w:hAnsi="宋体" w:cs="宋体"/>
                <w:sz w:val="24"/>
                <w:szCs w:val="24"/>
              </w:rPr>
              <w:t xml:space="preserve">无需提供营业执照等资料，填表即可</w:t>
            </w:r>
            <w:r/>
          </w:p>
        </w:tc>
      </w:tr>
    </w:tbl>
    <w:p>
      <w:pPr>
        <w:rPr>
          <w:rFonts w:hint="eastAsia" w:ascii="宋体" w:hAnsi="宋体" w:cs="宋体"/>
          <w:i/>
          <w:sz w:val="32"/>
          <w:szCs w:val="32"/>
          <w:u w:val="single"/>
        </w:rPr>
        <w:outlineLvl w:val="1"/>
      </w:pPr>
      <w:r>
        <w:rPr>
          <w:rFonts w:hint="eastAsia" w:ascii="宋体" w:hAnsi="宋体" w:cs="宋体"/>
          <w:iCs/>
          <w:sz w:val="32"/>
          <w:szCs w:val="32"/>
        </w:rPr>
        <w:br w:type="page" w:clear="all"/>
      </w:r>
      <w:bookmarkStart w:id="95" w:name="_Toc8562"/>
      <w:r>
        <w:rPr>
          <w:rFonts w:hint="eastAsia" w:ascii="宋体" w:hAnsi="宋体" w:cs="宋体"/>
          <w:b/>
          <w:iCs/>
          <w:sz w:val="32"/>
          <w:szCs w:val="32"/>
        </w:rPr>
        <w:t xml:space="preserve">三、特定资格要求的证明文件</w:t>
      </w:r>
      <w:bookmarkEnd w:id="95"/>
      <w:r/>
      <w:r/>
    </w:p>
    <w:p>
      <w:pPr>
        <w:spacing w:line="460" w:lineRule="exact"/>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rPr>
          <w:rFonts w:hint="eastAsia" w:ascii="宋体" w:hAnsi="宋体" w:cs="宋体"/>
          <w:iCs/>
          <w:sz w:val="32"/>
          <w:szCs w:val="32"/>
        </w:rPr>
        <w:outlineLvl w:val="1"/>
      </w:pPr>
      <w:r>
        <w:rPr>
          <w:rFonts w:hint="eastAsia" w:ascii="宋体" w:hAnsi="宋体" w:cs="宋体"/>
          <w:iCs/>
          <w:sz w:val="32"/>
          <w:szCs w:val="32"/>
        </w:rPr>
        <w:br w:type="page" w:clear="all"/>
      </w:r>
      <w:bookmarkStart w:id="96" w:name="_Toc16119"/>
      <w:r>
        <w:rPr>
          <w:rFonts w:hint="eastAsia" w:ascii="宋体" w:hAnsi="宋体" w:cs="宋体"/>
          <w:b/>
          <w:iCs/>
          <w:sz w:val="32"/>
          <w:szCs w:val="32"/>
        </w:rPr>
        <w:t xml:space="preserve">四、法人授权书</w:t>
      </w:r>
      <w:bookmarkEnd w:id="96"/>
      <w:r/>
      <w:r/>
    </w:p>
    <w:p>
      <w:pPr>
        <w:ind w:firstLine="480"/>
        <w:tabs>
          <w:tab w:val="left" w:pos="360" w:leader="none"/>
        </w:tabs>
        <w:rPr>
          <w:rFonts w:hint="eastAsia" w:ascii="宋体" w:hAnsi="宋体" w:cs="宋体"/>
          <w:sz w:val="24"/>
          <w:szCs w:val="24"/>
        </w:rPr>
      </w:pPr>
      <w:r>
        <w:rPr>
          <w:rFonts w:hint="eastAsia" w:ascii="宋体" w:hAnsi="宋体" w:cs="宋体"/>
          <w:sz w:val="24"/>
          <w:szCs w:val="24"/>
        </w:rPr>
      </w:r>
      <w:r/>
    </w:p>
    <w:p>
      <w:pPr>
        <w:pStyle w:val="1078"/>
        <w:jc w:val="center"/>
        <w:spacing w:line="520" w:lineRule="exact"/>
        <w:rPr>
          <w:rFonts w:hint="eastAsia" w:ascii="宋体" w:hAnsi="宋体" w:cs="宋体"/>
          <w:b/>
          <w:sz w:val="32"/>
          <w:szCs w:val="32"/>
        </w:rPr>
      </w:pPr>
      <w:r>
        <w:rPr>
          <w:rFonts w:hint="eastAsia" w:ascii="宋体" w:hAnsi="宋体" w:cs="宋体"/>
          <w:b/>
          <w:sz w:val="32"/>
          <w:szCs w:val="32"/>
        </w:rPr>
        <w:t xml:space="preserve">法人授权书</w:t>
      </w:r>
      <w:r/>
    </w:p>
    <w:p>
      <w:pPr>
        <w:ind w:firstLine="480"/>
        <w:spacing w:line="52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宿迁市市控水质自动监测站运行维护项目</w:t>
      </w:r>
      <w:r>
        <w:rPr>
          <w:rFonts w:hint="eastAsia" w:ascii="宋体" w:hAnsi="宋体" w:cs="宋体"/>
          <w:sz w:val="24"/>
          <w:szCs w:val="24"/>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hint="eastAsia" w:ascii="宋体" w:hAnsi="宋体" w:cs="宋体"/>
          <w:sz w:val="24"/>
          <w:szCs w:val="24"/>
        </w:rPr>
        <w:t xml:space="preserve">         </w:t>
      </w:r>
      <w:r/>
    </w:p>
    <w:p>
      <w:pPr>
        <w:tabs>
          <w:tab w:val="left" w:pos="360" w:leader="none"/>
        </w:tabs>
        <w:rPr>
          <w:rFonts w:hint="eastAsia" w:ascii="宋体" w:hAnsi="宋体" w:cs="宋体"/>
          <w:sz w:val="24"/>
          <w:szCs w:val="24"/>
        </w:rPr>
      </w:pPr>
      <w:r>
        <w:rPr>
          <w:rFonts w:hint="eastAsia" w:ascii="宋体" w:hAnsi="宋体" w:cs="宋体"/>
          <w:sz w:val="24"/>
          <w:szCs w:val="24"/>
        </w:rPr>
      </w:r>
      <w:r/>
    </w:p>
    <w:p>
      <w:pPr>
        <w:ind w:firstLine="1200"/>
        <w:spacing w:line="52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被授权人身份证号码：</w:t>
      </w:r>
      <w:r>
        <w:rPr>
          <w:rFonts w:hint="eastAsia" w:ascii="宋体" w:hAnsi="宋体" w:cs="宋体"/>
          <w:sz w:val="24"/>
          <w:szCs w:val="24"/>
          <w:u w:val="single"/>
        </w:rPr>
        <w:t xml:space="preserve">                              </w:t>
      </w:r>
      <w:r/>
    </w:p>
    <w:p>
      <w:pPr>
        <w:spacing w:line="52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ind w:firstLine="1200"/>
        <w:spacing w:line="520" w:lineRule="exact"/>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52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ind w:firstLine="480"/>
        <w:spacing w:line="52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日期：</w:t>
      </w:r>
      <w:bookmarkStart w:id="97" w:name="_Hlt26955070"/>
      <w:r/>
      <w:bookmarkEnd w:id="97"/>
      <w:r/>
      <w:bookmarkStart w:id="98" w:name="_格式3__银行出具的资信证明"/>
      <w:r/>
      <w:bookmarkEnd w:id="98"/>
      <w:r/>
      <w:bookmarkStart w:id="99" w:name="_Hlt26671380"/>
      <w:r/>
      <w:bookmarkEnd w:id="99"/>
      <w:r>
        <w:rPr>
          <w:rFonts w:hint="eastAsia" w:ascii="宋体" w:hAnsi="宋体" w:cs="宋体"/>
          <w:sz w:val="24"/>
          <w:szCs w:val="24"/>
          <w:u w:val="single"/>
        </w:rPr>
        <w:t xml:space="preserve">                                         </w:t>
      </w:r>
      <w:r/>
    </w:p>
    <w:p>
      <w:pPr>
        <w:spacing w:line="460" w:lineRule="exact"/>
        <w:rPr>
          <w:rFonts w:hint="eastAsia" w:ascii="宋体" w:hAnsi="宋体" w:cs="宋体"/>
          <w:bCs/>
          <w:sz w:val="24"/>
          <w:szCs w:val="21"/>
        </w:rPr>
      </w:pPr>
      <w:r>
        <w:rPr>
          <w:rFonts w:hint="eastAsia" w:ascii="宋体" w:hAnsi="宋体" w:cs="宋体"/>
          <w:bCs/>
          <w:sz w:val="24"/>
          <w:szCs w:val="21"/>
        </w:rPr>
      </w:r>
      <w:r/>
    </w:p>
    <w:p>
      <w:pPr>
        <w:ind w:firstLine="480"/>
        <w:tabs>
          <w:tab w:val="left" w:pos="360" w:leader="none"/>
        </w:tabs>
        <w:rPr>
          <w:rFonts w:hint="eastAsia" w:ascii="宋体" w:hAnsi="宋体" w:cs="宋体"/>
          <w:sz w:val="24"/>
          <w:szCs w:val="24"/>
          <w:u w:val="single"/>
        </w:rPr>
      </w:pPr>
      <w:r>
        <w:rPr>
          <w:rFonts w:hint="eastAsia" w:ascii="宋体" w:hAnsi="宋体" w:cs="宋体"/>
          <w:sz w:val="24"/>
          <w:szCs w:val="24"/>
          <w:u w:val="single"/>
        </w:rPr>
      </w:r>
      <w:r/>
    </w:p>
    <w:p>
      <w:pPr>
        <w:ind w:firstLine="480"/>
        <w:tabs>
          <w:tab w:val="left" w:pos="360" w:leader="none"/>
        </w:tabs>
        <w:rPr>
          <w:rFonts w:hint="eastAsia" w:ascii="宋体" w:hAnsi="宋体" w:cs="宋体"/>
          <w:sz w:val="24"/>
          <w:szCs w:val="24"/>
        </w:rPr>
      </w:pPr>
      <w:r>
        <w:rPr>
          <w:rFonts w:hint="eastAsia" w:ascii="宋体" w:hAnsi="宋体" w:cs="宋体"/>
          <w:sz w:val="24"/>
          <w:szCs w:val="24"/>
        </w:rPr>
      </w:r>
      <w:r/>
    </w:p>
    <w:p>
      <w:pPr>
        <w:ind w:firstLine="420"/>
        <w:rPr>
          <w:rFonts w:hint="eastAsia" w:ascii="宋体" w:hAnsi="宋体" w:cs="宋体"/>
          <w:i/>
          <w:sz w:val="24"/>
          <w:szCs w:val="24"/>
          <w:u w:val="single"/>
        </w:rPr>
      </w:pPr>
      <w:r>
        <w:rPr>
          <w:rFonts w:hint="eastAsia" w:ascii="宋体" w:hAnsi="宋体" w:cs="宋体"/>
          <w:i/>
          <w:sz w:val="24"/>
          <w:szCs w:val="24"/>
          <w:u w:val="single"/>
        </w:rPr>
      </w:r>
      <w:r/>
    </w:p>
    <w:p>
      <w:pPr>
        <w:rPr>
          <w:rFonts w:hint="eastAsia" w:ascii="宋体" w:hAnsi="宋体" w:cs="宋体"/>
          <w:szCs w:val="21"/>
        </w:rPr>
      </w:pPr>
      <w:r>
        <w:rPr>
          <w:rFonts w:hint="eastAsia" w:ascii="宋体" w:hAnsi="宋体" w:cs="宋体"/>
          <w:szCs w:val="21"/>
        </w:rPr>
      </w:r>
      <w:r/>
    </w:p>
    <w:p>
      <w:pPr>
        <w:jc w:val="left"/>
        <w:spacing w:line="560" w:lineRule="exact"/>
        <w:rPr>
          <w:rFonts w:hint="eastAsia" w:ascii="宋体" w:hAnsi="宋体" w:cs="宋体"/>
          <w:b/>
          <w:iCs/>
          <w:sz w:val="32"/>
          <w:szCs w:val="32"/>
        </w:rPr>
        <w:outlineLvl w:val="1"/>
      </w:pPr>
      <w:r>
        <w:rPr>
          <w:rFonts w:hint="eastAsia" w:ascii="宋体" w:hAnsi="宋体" w:cs="宋体"/>
          <w:b/>
          <w:sz w:val="24"/>
          <w:szCs w:val="44"/>
        </w:rPr>
        <w:br w:type="page" w:clear="all"/>
      </w:r>
      <w:bookmarkStart w:id="100" w:name="_Toc16895"/>
      <w:r>
        <w:rPr>
          <w:rFonts w:hint="eastAsia" w:ascii="宋体" w:hAnsi="宋体" w:cs="宋体"/>
          <w:b/>
          <w:iCs/>
          <w:sz w:val="32"/>
          <w:szCs w:val="32"/>
        </w:rPr>
        <w:t xml:space="preserve">五、中小（微）企业声明函（服务）</w:t>
      </w:r>
      <w:bookmarkEnd w:id="100"/>
      <w:r/>
      <w:r/>
    </w:p>
    <w:p>
      <w:pPr>
        <w:ind w:firstLine="360"/>
        <w:spacing w:line="560" w:lineRule="exact"/>
        <w:rPr>
          <w:rFonts w:hint="eastAsia" w:ascii="宋体" w:hAnsi="宋体" w:cs="宋体"/>
          <w:sz w:val="24"/>
          <w:szCs w:val="24"/>
        </w:rPr>
      </w:pPr>
      <w:r>
        <w:rPr>
          <w:rFonts w:hint="eastAsia" w:ascii="宋体" w:hAnsi="宋体" w:cs="宋体"/>
          <w:sz w:val="24"/>
          <w:szCs w:val="24"/>
        </w:rPr>
      </w:r>
      <w:r/>
    </w:p>
    <w:p>
      <w:pPr>
        <w:pStyle w:val="1078"/>
        <w:jc w:val="center"/>
        <w:rPr>
          <w:rFonts w:hint="eastAsia" w:ascii="宋体" w:hAnsi="宋体" w:cs="宋体"/>
          <w:b/>
          <w:sz w:val="32"/>
          <w:szCs w:val="32"/>
        </w:rPr>
      </w:pPr>
      <w:r>
        <w:rPr>
          <w:rFonts w:hint="eastAsia" w:ascii="宋体" w:hAnsi="宋体" w:cs="宋体"/>
          <w:b/>
          <w:sz w:val="32"/>
          <w:szCs w:val="32"/>
        </w:rPr>
        <w:t xml:space="preserve">中小（微）企业声明函（服务）</w:t>
      </w:r>
      <w:r/>
    </w:p>
    <w:p>
      <w:pPr>
        <w:ind w:firstLine="360"/>
        <w:spacing w:line="560" w:lineRule="exact"/>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宿迁市生态环境监测监控服务中心（单位名称）</w:t>
      </w:r>
      <w:r>
        <w:rPr>
          <w:rFonts w:hint="eastAsia" w:ascii="宋体" w:hAnsi="宋体" w:cs="宋体"/>
          <w:sz w:val="24"/>
          <w:szCs w:val="24"/>
        </w:rPr>
        <w:t xml:space="preserve">采购编号为</w:t>
      </w:r>
      <w:r>
        <w:rPr>
          <w:rFonts w:hint="eastAsia" w:ascii="宋体" w:hAnsi="宋体" w:cs="宋体"/>
          <w:sz w:val="24"/>
          <w:szCs w:val="24"/>
          <w:u w:val="single"/>
          <w:lang w:val="en-US" w:eastAsia="zh-CN"/>
        </w:rPr>
        <w:t xml:space="preserve"> JSZC-321300-TYJT-C2026-0004 </w:t>
      </w:r>
      <w:r>
        <w:rPr>
          <w:rFonts w:hint="eastAsia" w:ascii="宋体" w:hAnsi="宋体" w:cs="宋体"/>
          <w:sz w:val="24"/>
          <w:szCs w:val="24"/>
        </w:rPr>
        <w:t xml:space="preserve">，</w:t>
      </w:r>
      <w:r>
        <w:rPr>
          <w:rFonts w:hint="eastAsia" w:ascii="宋体" w:hAnsi="宋体" w:cs="宋体"/>
          <w:sz w:val="24"/>
          <w:szCs w:val="24"/>
          <w:u w:val="single"/>
        </w:rPr>
        <w:t xml:space="preserve">宿迁市市控水质自动监测站运行维护项目（项目名称）</w:t>
      </w:r>
      <w:r>
        <w:rPr>
          <w:rFonts w:hint="eastAsia" w:ascii="宋体" w:hAnsi="宋体" w:cs="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p>
    <w:p>
      <w:pPr>
        <w:spacing w:line="560" w:lineRule="exact"/>
        <w:rPr>
          <w:rFonts w:hint="eastAsia" w:ascii="宋体" w:hAnsi="宋体" w:cs="宋体"/>
          <w:i/>
          <w:sz w:val="24"/>
          <w:szCs w:val="24"/>
          <w:u w:val="single"/>
        </w:rPr>
      </w:pP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   （中型、小型企业、微型企业）；</w:t>
      </w:r>
      <w:r/>
    </w:p>
    <w:p>
      <w:pPr>
        <w:ind w:firstLine="360"/>
        <w:spacing w:line="5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p>
    <w:p>
      <w:pPr>
        <w:spacing w:line="560" w:lineRule="exact"/>
        <w:rPr>
          <w:rFonts w:hint="eastAsia" w:ascii="宋体" w:hAnsi="宋体" w:cs="宋体"/>
          <w:i/>
          <w:sz w:val="24"/>
          <w:szCs w:val="24"/>
          <w:u w:val="single"/>
        </w:rPr>
      </w:pP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（中型、小型企业、微型企业）；</w:t>
      </w:r>
      <w:r/>
    </w:p>
    <w:p>
      <w:pPr>
        <w:ind w:firstLine="360"/>
        <w:spacing w:line="560" w:lineRule="exact"/>
        <w:rPr>
          <w:rFonts w:hint="eastAsia" w:ascii="宋体" w:hAnsi="宋体" w:cs="宋体"/>
          <w:sz w:val="24"/>
          <w:szCs w:val="24"/>
        </w:rPr>
      </w:pP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560" w:lineRule="exact"/>
        <w:rPr>
          <w:rFonts w:hint="eastAsia" w:ascii="宋体" w:hAnsi="宋体" w:cs="宋体"/>
          <w:sz w:val="24"/>
          <w:szCs w:val="24"/>
        </w:rPr>
      </w:pPr>
      <w:r>
        <w:rPr>
          <w:rFonts w:hint="eastAsia" w:ascii="宋体" w:hAnsi="宋体" w:cs="宋体"/>
          <w:sz w:val="24"/>
          <w:szCs w:val="24"/>
        </w:rPr>
      </w:r>
      <w:r/>
    </w:p>
    <w:p>
      <w:pPr>
        <w:ind w:right="180" w:firstLine="360"/>
        <w:jc w:val="right"/>
        <w:spacing w:line="560" w:lineRule="exact"/>
        <w:rPr>
          <w:rFonts w:hint="eastAsia" w:ascii="宋体" w:hAnsi="宋体" w:cs="宋体"/>
          <w:sz w:val="24"/>
          <w:szCs w:val="24"/>
        </w:rPr>
      </w:pPr>
      <w:r>
        <w:rPr>
          <w:rFonts w:hint="eastAsia" w:ascii="宋体" w:hAnsi="宋体" w:cs="宋体"/>
          <w:sz w:val="24"/>
          <w:szCs w:val="24"/>
        </w:rPr>
        <w:t xml:space="preserve">企业名称（加盖CA电子公章）：</w:t>
      </w:r>
      <w:r/>
    </w:p>
    <w:p>
      <w:pPr>
        <w:ind w:right="480" w:firstLine="5400"/>
        <w:spacing w:line="560" w:lineRule="exact"/>
        <w:rPr>
          <w:rFonts w:hint="eastAsia" w:ascii="宋体" w:hAnsi="宋体" w:cs="宋体"/>
          <w:sz w:val="24"/>
          <w:szCs w:val="24"/>
        </w:rPr>
      </w:pPr>
      <w:r>
        <w:rPr>
          <w:rFonts w:hint="eastAsia" w:ascii="宋体" w:hAnsi="宋体" w:cs="宋体"/>
          <w:sz w:val="24"/>
          <w:szCs w:val="24"/>
        </w:rPr>
        <w:t xml:space="preserve">日  期：</w:t>
      </w:r>
      <w:r/>
    </w:p>
    <w:p>
      <w:pPr>
        <w:ind w:firstLine="420"/>
        <w:spacing w:line="400" w:lineRule="exact"/>
        <w:rPr>
          <w:rFonts w:hint="eastAsia" w:ascii="宋体" w:hAnsi="宋体" w:cs="宋体"/>
          <w:szCs w:val="21"/>
        </w:rPr>
      </w:pPr>
      <w:r>
        <w:rPr>
          <w:rFonts w:hint="eastAsia" w:ascii="宋体" w:hAnsi="宋体" w:cs="宋体"/>
          <w:szCs w:val="21"/>
        </w:rPr>
        <w:t xml:space="preserve">备注1：从业人员、营业收入、资产总额填报上一年度数据，无上一年度数据的新成立企业可不填报。</w:t>
      </w:r>
      <w:r/>
    </w:p>
    <w:p>
      <w:pPr>
        <w:ind w:firstLine="420"/>
        <w:spacing w:line="400" w:lineRule="exact"/>
        <w:rPr>
          <w:rFonts w:hint="eastAsia" w:ascii="宋体" w:hAnsi="宋体" w:cs="宋体"/>
          <w:szCs w:val="21"/>
        </w:rPr>
      </w:pPr>
      <w:r>
        <w:rPr>
          <w:rFonts w:hint="eastAsia" w:ascii="宋体" w:hAnsi="宋体" w:cs="宋体"/>
          <w:szCs w:val="21"/>
        </w:rPr>
        <w:t xml:space="preserve">备注2：供应商如不提供此声明函，价格将不做相应扣除。</w:t>
      </w:r>
      <w:r/>
    </w:p>
    <w:p>
      <w:pPr>
        <w:jc w:val="center"/>
        <w:spacing w:line="460" w:lineRule="exact"/>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残疾人福利性单位声明函</w:t>
      </w:r>
      <w:r/>
    </w:p>
    <w:p>
      <w:pPr>
        <w:ind w:firstLine="480"/>
        <w:spacing w:line="588" w:lineRule="exact"/>
        <w:rPr>
          <w:rFonts w:hint="eastAsia"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ind w:firstLine="480"/>
        <w:spacing w:line="588" w:lineRule="exact"/>
        <w:rPr>
          <w:rFonts w:hint="eastAsia" w:ascii="宋体" w:hAnsi="宋体" w:cs="宋体"/>
          <w:sz w:val="24"/>
          <w:szCs w:val="21"/>
        </w:rPr>
      </w:pPr>
      <w:r>
        <w:rPr>
          <w:rFonts w:hint="eastAsia" w:ascii="宋体" w:hAnsi="宋体" w:cs="宋体"/>
          <w:sz w:val="24"/>
          <w:szCs w:val="21"/>
        </w:rPr>
      </w:r>
      <w:r/>
    </w:p>
    <w:p>
      <w:pPr>
        <w:ind w:firstLine="480"/>
        <w:spacing w:line="588" w:lineRule="exact"/>
        <w:rPr>
          <w:rFonts w:hint="eastAsia" w:ascii="宋体" w:hAnsi="宋体" w:cs="宋体"/>
          <w:sz w:val="24"/>
          <w:szCs w:val="21"/>
        </w:rPr>
      </w:pPr>
      <w:r>
        <w:rPr>
          <w:rFonts w:hint="eastAsia" w:ascii="宋体" w:hAnsi="宋体" w:cs="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ind w:right="1560" w:firstLine="624"/>
        <w:jc w:val="center"/>
        <w:spacing w:line="588" w:lineRule="exact"/>
        <w:tabs>
          <w:tab w:val="left" w:pos="4860" w:leader="none"/>
        </w:tabs>
        <w:rPr>
          <w:rFonts w:hint="eastAsia"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cs="宋体"/>
          <w:sz w:val="24"/>
          <w:szCs w:val="21"/>
        </w:rPr>
      </w:pPr>
      <w:r>
        <w:rPr>
          <w:rFonts w:hint="eastAsia" w:ascii="宋体" w:hAnsi="宋体" w:cs="宋体"/>
          <w:sz w:val="24"/>
          <w:szCs w:val="21"/>
        </w:rPr>
        <w:t xml:space="preserve">        日  期：</w:t>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left"/>
        <w:rPr>
          <w:rFonts w:hint="eastAsia" w:ascii="宋体" w:hAnsi="宋体" w:cs="宋体"/>
          <w:b/>
          <w:iCs/>
          <w:sz w:val="32"/>
          <w:szCs w:val="32"/>
        </w:rPr>
        <w:outlineLvl w:val="1"/>
      </w:pPr>
      <w:r>
        <w:rPr>
          <w:rFonts w:hint="eastAsia" w:ascii="宋体" w:hAnsi="宋体" w:cs="宋体"/>
          <w:b/>
          <w:iCs/>
          <w:sz w:val="32"/>
          <w:szCs w:val="32"/>
        </w:rPr>
        <w:br w:type="page" w:clear="all"/>
      </w:r>
      <w:bookmarkStart w:id="101" w:name="_Toc26962"/>
      <w:r>
        <w:rPr>
          <w:rFonts w:hint="eastAsia" w:ascii="宋体" w:hAnsi="宋体" w:cs="宋体"/>
          <w:b/>
          <w:iCs/>
          <w:sz w:val="32"/>
          <w:szCs w:val="32"/>
        </w:rPr>
        <w:t xml:space="preserve">六、报价一览表</w:t>
      </w:r>
      <w:bookmarkEnd w:id="101"/>
      <w:r/>
      <w:r/>
    </w:p>
    <w:p>
      <w:pPr>
        <w:jc w:val="center"/>
        <w:rPr>
          <w:rFonts w:hint="eastAsia" w:ascii="宋体" w:hAnsi="宋体" w:cs="宋体"/>
          <w:b/>
          <w:iCs/>
          <w:sz w:val="32"/>
          <w:szCs w:val="32"/>
        </w:rPr>
      </w:pPr>
      <w:r>
        <w:rPr>
          <w:rFonts w:hint="eastAsia" w:ascii="宋体" w:hAnsi="宋体" w:cs="宋体"/>
          <w:b/>
          <w:iCs/>
          <w:sz w:val="32"/>
          <w:szCs w:val="32"/>
        </w:rPr>
      </w:r>
      <w:r/>
    </w:p>
    <w:p>
      <w:pPr>
        <w:jc w:val="center"/>
        <w:rPr>
          <w:rFonts w:hint="eastAsia" w:ascii="宋体" w:hAnsi="宋体" w:cs="宋体"/>
          <w:sz w:val="24"/>
          <w:szCs w:val="24"/>
        </w:rPr>
      </w:pPr>
      <w:r>
        <w:rPr>
          <w:rFonts w:hint="eastAsia" w:ascii="宋体" w:hAnsi="宋体" w:cs="宋体"/>
          <w:b/>
          <w:sz w:val="32"/>
          <w:szCs w:val="32"/>
        </w:rPr>
        <w:t xml:space="preserve">报价一览表</w:t>
      </w:r>
      <w:r/>
    </w:p>
    <w:p>
      <w:pPr>
        <w:ind w:firstLine="480"/>
        <w:rPr>
          <w:rFonts w:hint="eastAsia" w:ascii="宋体" w:hAnsi="宋体" w:cs="宋体"/>
          <w:sz w:val="24"/>
          <w:szCs w:val="24"/>
        </w:rPr>
      </w:pPr>
      <w:r>
        <w:rPr>
          <w:rFonts w:hint="eastAsia" w:ascii="宋体" w:hAnsi="宋体" w:cs="宋体"/>
          <w:sz w:val="24"/>
          <w:szCs w:val="24"/>
        </w:rPr>
        <w:t xml:space="preserve">供应商全称（加盖CA电子签章）：</w:t>
      </w:r>
      <w:r/>
    </w:p>
    <w:p>
      <w:pPr>
        <w:ind w:firstLine="480"/>
        <w:rPr>
          <w:rFonts w:hint="eastAsia" w:ascii="宋体" w:hAnsi="宋体" w:cs="宋体"/>
          <w:sz w:val="24"/>
          <w:szCs w:val="24"/>
        </w:rPr>
      </w:pPr>
      <w:r>
        <w:rPr>
          <w:rFonts w:hint="eastAsia" w:ascii="宋体" w:hAnsi="宋体" w:cs="宋体"/>
          <w:sz w:val="24"/>
          <w:szCs w:val="24"/>
        </w:rPr>
        <w:t xml:space="preserve">项目名称：宿迁市市控水质自动监测站运行维护项目</w:t>
      </w:r>
      <w:r/>
    </w:p>
    <w:p>
      <w:pPr>
        <w:ind w:firstLine="480"/>
        <w:rPr>
          <w:rFonts w:hint="eastAsia" w:ascii="宋体" w:hAnsi="宋体" w:cs="宋体"/>
          <w:sz w:val="24"/>
          <w:szCs w:val="24"/>
        </w:rPr>
      </w:pPr>
      <w:r>
        <w:rPr>
          <w:rFonts w:hint="eastAsia" w:ascii="宋体" w:hAnsi="宋体" w:cs="宋体"/>
          <w:sz w:val="24"/>
          <w:szCs w:val="24"/>
        </w:rPr>
        <w:t xml:space="preserve">招标编号：</w:t>
      </w:r>
      <w:r>
        <w:rPr>
          <w:rFonts w:ascii="Segoe UI" w:hAnsi="Segoe UI" w:eastAsia="Segoe UI" w:cs="Segoe UI"/>
          <w:i w:val="0"/>
          <w:iCs w:val="0"/>
          <w:caps w:val="0"/>
          <w:spacing w:val="0"/>
          <w:sz w:val="21"/>
          <w:szCs w:val="21"/>
          <w:shd w:val="clear" w:color="auto" w:fill="ffffff"/>
        </w:rPr>
        <w:t xml:space="preserve">JSZC-321300-TYJT-C2026</w:t>
      </w:r>
      <w:r>
        <w:rPr>
          <w:rFonts w:hint="eastAsia" w:ascii="Segoe UI" w:hAnsi="Segoe UI" w:eastAsia="宋体" w:cs="Segoe UI"/>
          <w:i w:val="0"/>
          <w:iCs w:val="0"/>
          <w:caps w:val="0"/>
          <w:spacing w:val="0"/>
          <w:sz w:val="21"/>
          <w:szCs w:val="21"/>
          <w:shd w:val="clear" w:color="auto" w:fill="ffffff"/>
          <w:lang w:eastAsia="zh-CN"/>
        </w:rPr>
        <w:t xml:space="preserve">-0004</w:t>
      </w:r>
      <w:r>
        <w:rPr>
          <w:rFonts w:hint="eastAsia" w:ascii="宋体" w:hAnsi="宋体" w:cs="宋体"/>
          <w:sz w:val="24"/>
          <w:szCs w:val="24"/>
        </w:rPr>
        <w:t xml:space="preserve">          </w:t>
      </w:r>
      <w:r/>
    </w:p>
    <w:tbl>
      <w:tblPr>
        <w:tblStyle w:val="7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投标总报价</w:t>
            </w:r>
            <w:r/>
          </w:p>
        </w:tc>
      </w:tr>
      <w:tr>
        <w:trPr>
          <w:cantSplit/>
          <w:trHeight w:val="612"/>
        </w:trPr>
        <w:tc>
          <w:tcPr>
            <w:tcW w:w="8206" w:type="dxa"/>
            <w:vAlign w:val="center"/>
            <w:textDirection w:val="lrTb"/>
            <w:noWrap w:val="false"/>
          </w:tcPr>
          <w:p>
            <w:pPr>
              <w:pStyle w:val="1048"/>
              <w:ind w:firstLine="0"/>
              <w:spacing w:before="0" w:after="0" w:line="500" w:lineRule="exact"/>
              <w:rPr>
                <w:rFonts w:hint="eastAsia" w:ascii="宋体" w:hAnsi="宋体" w:cs="宋体"/>
                <w:szCs w:val="21"/>
              </w:rPr>
            </w:pPr>
            <w:r>
              <w:rPr>
                <w:rFonts w:hint="eastAsia" w:ascii="宋体" w:hAnsi="宋体" w:cs="宋体"/>
              </w:rPr>
              <w:t xml:space="preserve">小写：                             （人民币：元）</w:t>
            </w:r>
            <w:r/>
          </w:p>
        </w:tc>
      </w:tr>
    </w:tbl>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spacing w:line="560" w:lineRule="exact"/>
        <w:rPr>
          <w:rFonts w:hint="eastAsia" w:ascii="宋体" w:hAnsi="宋体" w:cs="宋体"/>
          <w:b/>
          <w:iCs/>
          <w:sz w:val="32"/>
          <w:szCs w:val="32"/>
        </w:rPr>
        <w:outlineLvl w:val="1"/>
      </w:pPr>
      <w:r>
        <w:rPr>
          <w:rFonts w:hint="eastAsia" w:ascii="宋体" w:hAnsi="宋体" w:cs="宋体"/>
          <w:b/>
          <w:iCs/>
          <w:sz w:val="32"/>
          <w:szCs w:val="32"/>
        </w:rPr>
        <w:br w:type="page" w:clear="all"/>
      </w:r>
      <w:bookmarkStart w:id="102" w:name="_Toc22665"/>
      <w:r>
        <w:rPr>
          <w:rFonts w:hint="eastAsia" w:ascii="宋体" w:hAnsi="宋体" w:cs="宋体"/>
          <w:b/>
          <w:iCs/>
          <w:sz w:val="32"/>
          <w:szCs w:val="32"/>
        </w:rPr>
        <w:t xml:space="preserve">七、分项报价表（服务类）</w:t>
      </w:r>
      <w:bookmarkEnd w:id="102"/>
      <w:r/>
      <w:r/>
    </w:p>
    <w:p>
      <w:pPr>
        <w:jc w:val="center"/>
        <w:spacing w:before="146" w:after="146" w:line="460" w:lineRule="exact"/>
        <w:rPr>
          <w:rFonts w:hint="eastAsia" w:ascii="宋体" w:hAnsi="宋体" w:cs="宋体"/>
          <w:b/>
          <w:sz w:val="32"/>
          <w:szCs w:val="32"/>
        </w:rPr>
      </w:pPr>
      <w:r>
        <w:rPr>
          <w:rFonts w:hint="eastAsia" w:ascii="宋体" w:hAnsi="宋体" w:cs="宋体"/>
          <w:b/>
          <w:sz w:val="32"/>
          <w:szCs w:val="32"/>
        </w:rPr>
        <w:t xml:space="preserve">分项报价表（服务类）</w:t>
      </w:r>
      <w:r/>
    </w:p>
    <w:tbl>
      <w:tblPr>
        <w:tblStyle w:val="744"/>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投标总报价（人民币：元）</w:t>
            </w:r>
            <w:r/>
          </w:p>
        </w:tc>
        <w:tc>
          <w:tcPr>
            <w:tcW w:w="1798"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r>
    </w:tbl>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1"/>
        </w:rPr>
      </w:pPr>
      <w:r>
        <w:rPr>
          <w:rFonts w:hint="eastAsia" w:ascii="宋体" w:hAnsi="宋体" w:cs="宋体"/>
          <w:sz w:val="24"/>
          <w:szCs w:val="24"/>
        </w:rPr>
        <w:t xml:space="preserve">备注：1.</w:t>
      </w:r>
      <w:r>
        <w:rPr>
          <w:rFonts w:hint="eastAsia" w:ascii="宋体" w:hAnsi="宋体" w:cs="宋体"/>
          <w:sz w:val="24"/>
          <w:szCs w:val="21"/>
        </w:rPr>
        <w:t xml:space="preserve">磋商报价采用总承包方式，供应商的</w:t>
      </w:r>
      <w:r>
        <w:rPr>
          <w:rFonts w:hint="eastAsia" w:ascii="宋体" w:hAnsi="宋体" w:cs="宋体"/>
          <w:sz w:val="24"/>
          <w:szCs w:val="24"/>
        </w:rPr>
        <w:t xml:space="preserve">“总报价”</w:t>
      </w:r>
      <w:r>
        <w:rPr>
          <w:rFonts w:hint="eastAsia" w:ascii="宋体" w:hAnsi="宋体" w:cs="宋体"/>
          <w:sz w:val="24"/>
          <w:szCs w:val="21"/>
        </w:rPr>
        <w:t xml:space="preserve">应包括</w:t>
      </w:r>
      <w:r>
        <w:rPr>
          <w:rFonts w:hint="eastAsia" w:ascii="宋体" w:hAnsi="宋体" w:cs="宋体"/>
          <w:bCs/>
          <w:sz w:val="24"/>
          <w:szCs w:val="24"/>
          <w:u w:val="single"/>
        </w:rPr>
        <w:t xml:space="preserve">服务本身价格、合同期内乙方所雇佣人员所需的一切劳务酬金(含工资、奖金、加班费、职业防护费等等)，所有雇用人员的各类社会保险费用，完成承包工作所需要的设备、损耗、运输费用，住宿费以及管理费、税费、利润及以及履约过程中涉及到的其他一切费用</w:t>
      </w:r>
      <w:r>
        <w:rPr>
          <w:rFonts w:hint="eastAsia" w:ascii="宋体" w:hAnsi="宋体" w:cs="宋体"/>
          <w:sz w:val="24"/>
          <w:szCs w:val="21"/>
        </w:rPr>
        <w:t xml:space="preserve">。</w:t>
      </w:r>
      <w:r/>
    </w:p>
    <w:p>
      <w:pPr>
        <w:numPr>
          <w:ilvl w:val="0"/>
          <w:numId w:val="6"/>
        </w:numPr>
        <w:rPr>
          <w:rFonts w:hint="eastAsia" w:ascii="宋体" w:hAnsi="宋体" w:cs="宋体"/>
          <w:sz w:val="24"/>
          <w:szCs w:val="24"/>
        </w:rPr>
      </w:pPr>
      <w:r>
        <w:rPr>
          <w:rFonts w:hint="eastAsia" w:ascii="宋体" w:hAnsi="宋体" w:cs="宋体"/>
          <w:sz w:val="24"/>
          <w:szCs w:val="24"/>
        </w:rPr>
        <w:t xml:space="preserve">“投标分项报价表”中“投标总报价”数额应当与“报价一览表”中“投标总报价”数额一致。</w:t>
      </w:r>
      <w:r/>
    </w:p>
    <w:p>
      <w:pPr>
        <w:pageBreakBefore w:val="0"/>
        <w:spacing w:line="480" w:lineRule="auto"/>
        <w:rPr>
          <w:rFonts w:hint="eastAsia" w:ascii="宋体" w:hAnsi="宋体" w:cs="宋体"/>
          <w:b/>
          <w:bCs/>
          <w:sz w:val="24"/>
          <w:szCs w:val="24"/>
          <w:highlight w:val="red"/>
          <w:lang w:val="en-US" w:eastAsia="zh-CN"/>
        </w:rPr>
      </w:pPr>
      <w:r>
        <w:rPr>
          <w:rFonts w:hint="eastAsia" w:ascii="宋体" w:hAnsi="宋体" w:cs="宋体"/>
          <w:b/>
          <w:bCs/>
          <w:sz w:val="24"/>
          <w:szCs w:val="24"/>
          <w:highlight w:val="red"/>
          <w:lang w:val="en-US" w:eastAsia="zh-CN"/>
        </w:rPr>
        <w:t xml:space="preserve">3.投标总报价对应为12个月的运维服务费，产生的运维费按实际合同履约期进行折算。</w:t>
      </w:r>
      <w:bookmarkStart w:id="124" w:name="_GoBack"/>
      <w:r/>
      <w:bookmarkEnd w:id="124"/>
      <w:r/>
      <w:r/>
    </w:p>
    <w:p>
      <w:pPr>
        <w:numPr>
          <w:ilvl w:val="0"/>
          <w:numId w:val="0"/>
        </w:num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b/>
          <w:iCs/>
          <w:sz w:val="32"/>
          <w:szCs w:val="32"/>
        </w:rPr>
      </w:pPr>
      <w:r>
        <w:rPr>
          <w:rFonts w:hint="eastAsia" w:ascii="宋体" w:hAnsi="宋体" w:cs="宋体"/>
          <w:b/>
          <w:iCs/>
          <w:sz w:val="32"/>
          <w:szCs w:val="32"/>
        </w:rPr>
        <w:br w:type="page" w:clear="all"/>
      </w:r>
      <w:r/>
    </w:p>
    <w:p>
      <w:pPr>
        <w:jc w:val="left"/>
        <w:spacing w:line="560" w:lineRule="exact"/>
        <w:rPr>
          <w:rFonts w:hint="eastAsia" w:ascii="宋体" w:hAnsi="宋体" w:cs="宋体"/>
          <w:b/>
          <w:iCs/>
          <w:sz w:val="32"/>
          <w:szCs w:val="32"/>
        </w:rPr>
        <w:outlineLvl w:val="1"/>
      </w:pPr>
      <w:r/>
      <w:bookmarkStart w:id="103" w:name="_Toc14341"/>
      <w:r>
        <w:rPr>
          <w:rFonts w:hint="eastAsia" w:ascii="宋体" w:hAnsi="宋体" w:cs="宋体"/>
          <w:b/>
          <w:iCs/>
          <w:sz w:val="32"/>
          <w:szCs w:val="32"/>
        </w:rPr>
        <w:t xml:space="preserve">八、服务标准和要求响应及偏离表</w:t>
      </w:r>
      <w:bookmarkEnd w:id="103"/>
      <w:r/>
      <w:bookmarkEnd w:id="93"/>
      <w:r/>
      <w:r/>
    </w:p>
    <w:p>
      <w:pPr>
        <w:jc w:val="cente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iCs/>
          <w:sz w:val="32"/>
          <w:szCs w:val="32"/>
        </w:rPr>
        <w:t xml:space="preserve">服务标准和要求</w:t>
      </w:r>
      <w:r>
        <w:rPr>
          <w:rFonts w:hint="eastAsia" w:ascii="宋体" w:hAnsi="宋体" w:cs="宋体"/>
          <w:b/>
          <w:sz w:val="32"/>
          <w:szCs w:val="32"/>
        </w:rPr>
        <w:t xml:space="preserve">响应及偏离表</w:t>
      </w: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sz w:val="24"/>
                <w:szCs w:val="24"/>
              </w:rPr>
            </w:pPr>
            <w:r/>
            <w:bookmarkStart w:id="104" w:name="_Hlt24879081"/>
            <w:r/>
            <w:bookmarkEnd w:id="104"/>
            <w:r/>
            <w:bookmarkStart w:id="105" w:name="_Hlt26955056"/>
            <w:r/>
            <w:bookmarkEnd w:id="105"/>
            <w:r/>
            <w:bookmarkStart w:id="106" w:name="_Hlt26580838"/>
            <w:r/>
            <w:bookmarkEnd w:id="106"/>
            <w:r/>
            <w:bookmarkStart w:id="107" w:name="_Hlt26671343"/>
            <w:r/>
            <w:bookmarkEnd w:id="107"/>
            <w:r/>
            <w:bookmarkStart w:id="108" w:name="_Hlt26955064"/>
            <w:r/>
            <w:bookmarkEnd w:id="108"/>
            <w:r/>
            <w:bookmarkStart w:id="109" w:name="_Hlt26609391"/>
            <w:r/>
            <w:bookmarkEnd w:id="109"/>
            <w:r/>
            <w:bookmarkStart w:id="110" w:name="_Hlt26782999"/>
            <w:r/>
            <w:bookmarkEnd w:id="110"/>
            <w:r/>
            <w:bookmarkStart w:id="111" w:name="_Hlt26955054"/>
            <w:r/>
            <w:bookmarkEnd w:id="111"/>
            <w:r/>
            <w:bookmarkStart w:id="112" w:name="_Hlt26671372"/>
            <w:r/>
            <w:bookmarkEnd w:id="112"/>
            <w:r>
              <w:rPr>
                <w:rFonts w:hint="eastAsia" w:ascii="宋体" w:hAnsi="宋体" w:cs="宋体"/>
                <w:sz w:val="24"/>
                <w:szCs w:val="24"/>
              </w:rPr>
              <w:t xml:space="preserve">序号</w:t>
            </w:r>
            <w:r/>
          </w:p>
        </w:tc>
        <w:tc>
          <w:tcPr>
            <w:tcW w:w="3291" w:type="dxa"/>
            <w:vAlign w:val="center"/>
            <w:textDirection w:val="lrTb"/>
            <w:noWrap w:val="false"/>
          </w:tcPr>
          <w:p>
            <w:pPr>
              <w:pStyle w:val="1021"/>
              <w:jc w:val="center"/>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服务标准和要求内容</w:t>
            </w:r>
            <w:r/>
          </w:p>
        </w:tc>
        <w:tc>
          <w:tcPr>
            <w:tcW w:w="2852" w:type="dxa"/>
            <w:vAlign w:val="center"/>
            <w:textDirection w:val="lrTb"/>
            <w:noWrap w:val="false"/>
          </w:tcPr>
          <w:p>
            <w:pPr>
              <w:pStyle w:val="1021"/>
              <w:jc w:val="center"/>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响应情况（填报“响应或完全响应”）</w:t>
            </w:r>
            <w:r/>
          </w:p>
        </w:tc>
        <w:tc>
          <w:tcPr>
            <w:tcW w:w="1308" w:type="dxa"/>
            <w:vAlign w:val="center"/>
            <w:textDirection w:val="lrTb"/>
            <w:noWrap w:val="false"/>
          </w:tcPr>
          <w:p>
            <w:pPr>
              <w:pStyle w:val="1021"/>
              <w:jc w:val="center"/>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偏离（填报“正偏离、符合或负偏离”）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588" w:lineRule="exact"/>
        <w:rPr>
          <w:rFonts w:hint="eastAsia" w:ascii="宋体" w:hAnsi="宋体" w:cs="宋体"/>
          <w:sz w:val="24"/>
        </w:rPr>
      </w:pPr>
      <w:r>
        <w:rPr>
          <w:rFonts w:hint="eastAsia" w:ascii="宋体" w:hAnsi="宋体" w:cs="宋体"/>
          <w:sz w:val="24"/>
        </w:rPr>
        <w:t xml:space="preserve">1.供应商必须对服务标准和要求中的实质性要求（打“★”内容）做出明确响应，否则作无效响应处理。</w:t>
      </w:r>
      <w:r/>
    </w:p>
    <w:p>
      <w:pPr>
        <w:spacing w:line="588" w:lineRule="exact"/>
        <w:rPr>
          <w:rFonts w:hint="eastAsia" w:ascii="宋体" w:hAnsi="宋体" w:cs="宋体"/>
          <w:sz w:val="24"/>
        </w:rPr>
      </w:pPr>
      <w:r>
        <w:rPr>
          <w:rFonts w:hint="eastAsia" w:ascii="宋体" w:hAnsi="宋体" w:cs="宋体"/>
          <w:sz w:val="24"/>
        </w:rPr>
        <w:t xml:space="preserve">2.如果采购文件要求提供证明材料，供应商必须将证明材料列于该表之下。</w:t>
      </w:r>
      <w:r/>
    </w:p>
    <w:p>
      <w:pPr>
        <w:spacing w:line="588" w:lineRule="exact"/>
        <w:rPr>
          <w:rFonts w:hint="eastAsia" w:ascii="宋体" w:hAnsi="宋体" w:cs="宋体"/>
          <w:sz w:val="24"/>
        </w:rPr>
      </w:pPr>
      <w:r>
        <w:rPr>
          <w:rFonts w:hint="eastAsia" w:ascii="宋体" w:hAnsi="宋体" w:cs="宋体"/>
          <w:sz w:val="24"/>
        </w:rPr>
        <w:t xml:space="preserve">3.供应商未对实质性要求作出明确响应的，该分包作无效响应处理。</w:t>
      </w:r>
      <w:r/>
    </w:p>
    <w:p>
      <w:pPr>
        <w:spacing w:line="588" w:lineRule="exact"/>
        <w:rPr>
          <w:rFonts w:hint="eastAsia" w:ascii="宋体" w:hAnsi="宋体" w:cs="宋体"/>
          <w:sz w:val="24"/>
        </w:rPr>
      </w:pPr>
      <w:r>
        <w:rPr>
          <w:rFonts w:hint="eastAsia" w:ascii="宋体" w:hAnsi="宋体" w:cs="宋体"/>
          <w:sz w:val="24"/>
        </w:rPr>
        <w:t xml:space="preserve">4.供应商未在表中列出响应情况，视为完全响应。</w:t>
      </w:r>
      <w:r/>
    </w:p>
    <w:p>
      <w:pPr>
        <w:spacing w:line="588" w:lineRule="exact"/>
        <w:rPr>
          <w:rFonts w:hint="eastAsia" w:ascii="宋体" w:hAnsi="宋体" w:cs="宋体"/>
          <w:sz w:val="24"/>
          <w:szCs w:val="21"/>
        </w:rPr>
      </w:pPr>
      <w:r>
        <w:rPr>
          <w:rFonts w:hint="eastAsia" w:ascii="宋体" w:hAnsi="宋体" w:cs="宋体"/>
          <w:sz w:val="24"/>
        </w:rPr>
        <w:t xml:space="preserve">5.行数不够可自行添加。</w:t>
      </w:r>
      <w:r/>
    </w:p>
    <w:p>
      <w:pPr>
        <w:spacing w:line="480" w:lineRule="auto"/>
        <w:rPr>
          <w:rFonts w:hint="eastAsia" w:ascii="宋体" w:hAnsi="宋体" w:cs="宋体"/>
          <w:sz w:val="30"/>
          <w:szCs w:val="21"/>
        </w:rPr>
      </w:pPr>
      <w:r>
        <w:rPr>
          <w:rFonts w:hint="eastAsia" w:ascii="宋体" w:hAnsi="宋体" w:cs="宋体"/>
          <w:sz w:val="30"/>
          <w:szCs w:val="21"/>
        </w:rPr>
      </w:r>
      <w:bookmarkEnd w:id="75"/>
      <w:r/>
      <w:bookmarkEnd w:id="76"/>
      <w:r/>
      <w:r/>
    </w:p>
    <w:p>
      <w:pPr>
        <w:rPr>
          <w:rFonts w:hint="eastAsia" w:ascii="宋体" w:hAnsi="宋体" w:cs="宋体"/>
          <w:sz w:val="24"/>
          <w:szCs w:val="21"/>
        </w:rPr>
      </w:pPr>
      <w:r/>
      <w:bookmarkStart w:id="113" w:name="_Toc462564146"/>
      <w:r/>
      <w:bookmarkEnd w:id="113"/>
      <w:r/>
      <w:bookmarkStart w:id="114" w:name="_Hlt26955066"/>
      <w:r/>
      <w:bookmarkEnd w:id="114"/>
      <w:r/>
      <w:bookmarkStart w:id="115" w:name="_Hlt26609389"/>
      <w:r/>
      <w:bookmarkEnd w:id="115"/>
      <w:r/>
      <w:bookmarkStart w:id="116" w:name="_Hlt26671374"/>
      <w:r/>
      <w:bookmarkEnd w:id="116"/>
      <w:r/>
      <w:r/>
    </w:p>
    <w:p>
      <w:pPr>
        <w:pStyle w:val="1085"/>
        <w:rPr>
          <w:rFonts w:hint="eastAsia" w:ascii="宋体" w:hAnsi="宋体" w:eastAsia="宋体" w:cs="宋体"/>
        </w:rPr>
        <w:outlineLvl w:val="1"/>
      </w:pPr>
      <w:r/>
      <w:bookmarkStart w:id="117" w:name="_格式2__法定代表人授权书"/>
      <w:r/>
      <w:bookmarkEnd w:id="117"/>
      <w:r>
        <w:rPr>
          <w:rFonts w:hint="eastAsia" w:ascii="宋体" w:hAnsi="宋体" w:eastAsia="宋体" w:cs="宋体"/>
          <w:b w:val="0"/>
          <w:szCs w:val="32"/>
        </w:rPr>
        <w:br w:type="page" w:clear="all"/>
      </w:r>
      <w:bookmarkStart w:id="118" w:name="_Toc15386"/>
      <w:r>
        <w:rPr>
          <w:rFonts w:hint="eastAsia" w:ascii="宋体" w:hAnsi="宋体" w:eastAsia="宋体" w:cs="宋体"/>
          <w:iCs/>
          <w:szCs w:val="32"/>
        </w:rPr>
        <w:t xml:space="preserve">九、项目组人员</w:t>
      </w:r>
      <w:bookmarkEnd w:id="118"/>
      <w:r/>
      <w:r/>
    </w:p>
    <w:p>
      <w:pPr>
        <w:pStyle w:val="1021"/>
        <w:jc w:val="center"/>
        <w:spacing w:line="600" w:lineRule="exact"/>
        <w:rPr>
          <w:rFonts w:hint="eastAsia"/>
          <w:b/>
          <w:bCs/>
          <w:sz w:val="32"/>
          <w:szCs w:val="32"/>
        </w:rPr>
      </w:pPr>
      <w:r>
        <w:rPr>
          <w:rFonts w:hint="eastAsia"/>
          <w:b/>
          <w:bCs/>
          <w:sz w:val="32"/>
          <w:szCs w:val="32"/>
          <w:lang w:bidi="ar"/>
        </w:rPr>
        <w:t xml:space="preserve">项目组成员</w:t>
      </w:r>
      <w:r/>
    </w:p>
    <w:tbl>
      <w:tblPr>
        <w:tblStyle w:val="744"/>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6"/>
              <w:jc w:val="center"/>
              <w:spacing w:beforeAutospacing="1" w:line="560" w:lineRule="exact"/>
              <w:widowControl/>
              <w:rPr>
                <w:rFonts w:hint="eastAsia"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val="false"/>
          </w:tcPr>
          <w:p>
            <w:pPr>
              <w:pStyle w:val="1086"/>
              <w:jc w:val="center"/>
              <w:spacing w:beforeAutospacing="1" w:line="560" w:lineRule="exact"/>
              <w:widowControl/>
              <w:rPr>
                <w:rFonts w:hint="eastAsia"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val="false"/>
          </w:tcPr>
          <w:p>
            <w:pPr>
              <w:pStyle w:val="1086"/>
              <w:jc w:val="center"/>
              <w:spacing w:beforeAutospacing="1" w:line="560" w:lineRule="exact"/>
              <w:widowControl/>
              <w:rPr>
                <w:rFonts w:hint="eastAsia"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val="false"/>
          </w:tcPr>
          <w:p>
            <w:pPr>
              <w:pStyle w:val="1086"/>
              <w:ind w:firstLine="280"/>
              <w:spacing w:beforeAutospacing="1" w:line="560" w:lineRule="exact"/>
              <w:widowControl/>
              <w:rPr>
                <w:rFonts w:hint="eastAsia"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val="false"/>
          </w:tcPr>
          <w:p>
            <w:pPr>
              <w:pStyle w:val="1086"/>
              <w:jc w:val="center"/>
              <w:spacing w:beforeAutospacing="1" w:line="560" w:lineRule="exact"/>
              <w:widowControl/>
              <w:rPr>
                <w:rFonts w:hint="eastAsia"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val="false"/>
          </w:tcPr>
          <w:p>
            <w:pPr>
              <w:pStyle w:val="1086"/>
              <w:spacing w:beforeAutospacing="1" w:line="560" w:lineRule="exact"/>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21"/>
              <w:jc w:val="center"/>
              <w:rPr>
                <w:rFonts w:hint="eastAsia"/>
                <w:sz w:val="20"/>
                <w:szCs w:val="20"/>
              </w:rPr>
            </w:pPr>
            <w:r>
              <w:rPr>
                <w:rFonts w:hint="eastAsia"/>
                <w:sz w:val="28"/>
                <w:szCs w:val="28"/>
                <w:lang w:bidi="ar"/>
              </w:rPr>
              <w:t xml:space="preserve">项目经理</w:t>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21"/>
              <w:jc w:val="center"/>
              <w:rPr>
                <w:rFonts w:hint="eastAsia"/>
                <w:sz w:val="28"/>
                <w:szCs w:val="28"/>
              </w:rPr>
            </w:pPr>
            <w:r>
              <w:rPr>
                <w:rFonts w:hint="eastAsia"/>
                <w:sz w:val="28"/>
                <w:szCs w:val="28"/>
                <w:lang w:bidi="ar"/>
              </w:rPr>
              <w:t xml:space="preserve">......</w:t>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21"/>
              <w:ind w:firstLine="280"/>
              <w:rPr>
                <w:rFonts w:hint="eastAsia"/>
                <w:sz w:val="28"/>
                <w:szCs w:val="28"/>
              </w:rPr>
            </w:pPr>
            <w:r>
              <w:rPr>
                <w:rFonts w:hint="eastAsia"/>
                <w:sz w:val="28"/>
                <w:szCs w:val="28"/>
                <w:lang w:bidi="ar"/>
              </w:rPr>
              <w:t xml:space="preserve">......</w:t>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21"/>
              <w:rPr>
                <w:rFonts w:hint="eastAsia"/>
                <w:sz w:val="28"/>
                <w:szCs w:val="28"/>
              </w:rPr>
            </w:pPr>
            <w:r>
              <w:rPr>
                <w:rFonts w:hint="eastAsia"/>
                <w:sz w:val="28"/>
                <w:szCs w:val="28"/>
              </w:rPr>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21"/>
              <w:rPr>
                <w:rFonts w:hint="eastAsia"/>
                <w:sz w:val="28"/>
                <w:szCs w:val="28"/>
              </w:rPr>
            </w:pPr>
            <w:r>
              <w:rPr>
                <w:rFonts w:hint="eastAsia"/>
                <w:sz w:val="28"/>
                <w:szCs w:val="28"/>
              </w:rPr>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val="false"/>
          </w:tcPr>
          <w:p>
            <w:pPr>
              <w:pStyle w:val="1086"/>
              <w:ind w:firstLine="560"/>
              <w:jc w:val="center"/>
              <w:spacing w:line="560" w:lineRule="exact"/>
              <w:widowControl/>
              <w:rPr>
                <w:rFonts w:hint="eastAsia" w:ascii="宋体" w:hAnsi="宋体" w:cs="宋体"/>
                <w:sz w:val="28"/>
                <w:szCs w:val="28"/>
              </w:rPr>
            </w:pPr>
            <w:r>
              <w:rPr>
                <w:rFonts w:hint="eastAsia" w:ascii="宋体" w:hAnsi="宋体" w:cs="宋体"/>
                <w:sz w:val="28"/>
                <w:szCs w:val="28"/>
              </w:rPr>
            </w:r>
            <w:r/>
          </w:p>
        </w:tc>
      </w:tr>
    </w:tbl>
    <w:p>
      <w:pPr>
        <w:pStyle w:val="1021"/>
        <w:ind w:firstLine="398"/>
        <w:spacing w:line="460" w:lineRule="exact"/>
        <w:rPr>
          <w:rFonts w:hint="eastAsia"/>
        </w:rPr>
      </w:pPr>
      <w:r>
        <w:rPr>
          <w:rFonts w:hint="eastAsia"/>
          <w:b/>
          <w:lang w:bidi="ar"/>
        </w:rPr>
        <w:t xml:space="preserve">注：如供应商成交，项目组成员必须按本表承诺人员操作，不得随意更换。按磋商文件要求附相关人员证书。</w:t>
      </w:r>
      <w:r/>
    </w:p>
    <w:p>
      <w:pPr>
        <w:pStyle w:val="1021"/>
        <w:ind w:firstLine="280"/>
        <w:spacing w:line="500" w:lineRule="exact"/>
        <w:rPr>
          <w:rFonts w:hint="eastAsia"/>
        </w:rPr>
      </w:pPr>
      <w:r>
        <w:rPr>
          <w:rFonts w:hint="eastAsia"/>
        </w:rPr>
      </w:r>
      <w:r/>
    </w:p>
    <w:p>
      <w:pPr>
        <w:pStyle w:val="1087"/>
        <w:spacing w:line="500" w:lineRule="exact"/>
        <w:rPr>
          <w:rFonts w:hint="eastAsia" w:ascii="宋体" w:hAnsi="宋体" w:cs="宋体"/>
        </w:rPr>
        <w:outlineLvl w:val="1"/>
      </w:pPr>
      <w:r>
        <w:rPr>
          <w:rFonts w:hint="eastAsia" w:ascii="宋体" w:hAnsi="宋体" w:cs="宋体"/>
        </w:rPr>
        <w:br w:type="page" w:clear="all"/>
      </w:r>
      <w:bookmarkStart w:id="119" w:name="_Toc11176"/>
      <w:r/>
      <w:bookmarkStart w:id="120" w:name="_Toc2667"/>
      <w:r>
        <w:rPr>
          <w:rFonts w:hint="eastAsia" w:ascii="宋体" w:hAnsi="宋体" w:cs="宋体"/>
          <w:b/>
          <w:iCs/>
          <w:sz w:val="32"/>
          <w:szCs w:val="32"/>
        </w:rPr>
        <w:t xml:space="preserve">十、</w:t>
      </w:r>
      <w:bookmarkEnd w:id="119"/>
      <w:r>
        <w:rPr>
          <w:rFonts w:hint="eastAsia" w:ascii="宋体" w:hAnsi="宋体" w:cs="宋体"/>
          <w:b/>
          <w:iCs/>
          <w:sz w:val="32"/>
          <w:szCs w:val="32"/>
        </w:rPr>
        <w:t xml:space="preserve">企业业绩</w:t>
      </w:r>
      <w:bookmarkEnd w:id="120"/>
      <w:r/>
      <w:r/>
    </w:p>
    <w:p>
      <w:pPr>
        <w:pStyle w:val="1088"/>
        <w:jc w:val="center"/>
        <w:rPr>
          <w:rFonts w:hint="eastAsia" w:ascii="宋体" w:hAnsi="宋体" w:cs="宋体"/>
          <w:b/>
          <w:sz w:val="32"/>
          <w:szCs w:val="32"/>
        </w:rPr>
      </w:pPr>
      <w:r>
        <w:rPr>
          <w:rFonts w:hint="eastAsia" w:ascii="宋体" w:hAnsi="宋体" w:cs="宋体"/>
          <w:b/>
          <w:sz w:val="32"/>
          <w:szCs w:val="32"/>
        </w:rPr>
        <w:t xml:space="preserve">供应商承担类似项目业绩一览表</w:t>
      </w:r>
      <w:r/>
    </w:p>
    <w:tbl>
      <w:tblPr>
        <w:tblStyle w:val="74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89"/>
              <w:jc w:val="center"/>
              <w:spacing w:line="560" w:lineRule="exact"/>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1089"/>
              <w:jc w:val="center"/>
              <w:spacing w:line="560" w:lineRule="exact"/>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1089"/>
              <w:jc w:val="center"/>
              <w:spacing w:line="560" w:lineRule="exact"/>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1089"/>
              <w:jc w:val="center"/>
              <w:spacing w:line="560" w:lineRule="exact"/>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r>
      <w:tr>
        <w:trPr>
          <w:jc w:val="center"/>
          <w:trHeight w:val="1525"/>
        </w:trPr>
        <w:tc>
          <w:tcPr>
            <w:tcW w:w="1229" w:type="dxa"/>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89"/>
              <w:jc w:val="center"/>
              <w:spacing w:line="560" w:lineRule="exact"/>
              <w:rPr>
                <w:rFonts w:hint="eastAsia" w:ascii="宋体" w:hAnsi="宋体" w:cs="宋体"/>
                <w:sz w:val="28"/>
              </w:rPr>
            </w:pPr>
            <w:r>
              <w:rPr>
                <w:rFonts w:hint="eastAsia" w:ascii="宋体" w:hAnsi="宋体" w:cs="宋体"/>
                <w:sz w:val="28"/>
              </w:rPr>
            </w:r>
            <w:r/>
          </w:p>
        </w:tc>
      </w:tr>
    </w:tbl>
    <w:p>
      <w:pPr>
        <w:pStyle w:val="1088"/>
        <w:rPr>
          <w:rFonts w:hint="eastAsia" w:ascii="宋体" w:hAnsi="宋体" w:cs="宋体"/>
        </w:rPr>
      </w:pPr>
      <w:r>
        <w:rPr>
          <w:rFonts w:hint="eastAsia" w:ascii="宋体" w:hAnsi="宋体" w:cs="宋体"/>
          <w:b/>
          <w:sz w:val="24"/>
        </w:rPr>
        <w:t xml:space="preserve">注：请填写此表，并按要求上传业绩资料电子件。</w:t>
      </w:r>
      <w:r/>
    </w:p>
    <w:p>
      <w:pPr>
        <w:jc w:val="left"/>
        <w:rPr>
          <w:rFonts w:hint="eastAsia" w:ascii="宋体" w:hAnsi="宋体" w:cs="宋体"/>
          <w:b/>
          <w:iCs/>
          <w:sz w:val="32"/>
          <w:szCs w:val="32"/>
        </w:rPr>
        <w:outlineLvl w:val="1"/>
      </w:pPr>
      <w:r>
        <w:rPr>
          <w:rFonts w:hint="eastAsia" w:ascii="宋体" w:hAnsi="宋体" w:cs="宋体"/>
          <w:b/>
          <w:sz w:val="32"/>
          <w:szCs w:val="32"/>
        </w:rPr>
        <w:br w:type="page" w:clear="all"/>
      </w:r>
      <w:bookmarkStart w:id="121" w:name="_Toc28140"/>
      <w:r/>
      <w:bookmarkStart w:id="122" w:name="_Toc2361"/>
      <w:r>
        <w:rPr>
          <w:rFonts w:hint="eastAsia" w:ascii="宋体" w:hAnsi="宋体" w:cs="宋体"/>
          <w:b/>
          <w:iCs/>
          <w:sz w:val="32"/>
          <w:szCs w:val="32"/>
        </w:rPr>
        <w:t xml:space="preserve">十一、磋商所需其他材料</w:t>
      </w:r>
      <w:bookmarkEnd w:id="121"/>
      <w:r/>
      <w:bookmarkEnd w:id="122"/>
      <w:r/>
      <w:r/>
    </w:p>
    <w:p>
      <w:pPr>
        <w:pStyle w:val="1084"/>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cs="宋体"/>
          <w:b/>
          <w:bCs/>
          <w:sz w:val="32"/>
          <w:szCs w:val="32"/>
        </w:rPr>
        <w:outlineLvl w:val="1"/>
      </w:pPr>
      <w:r>
        <w:rPr>
          <w:rFonts w:hint="eastAsia" w:ascii="宋体" w:hAnsi="宋体" w:cs="宋体"/>
          <w:b/>
          <w:bCs/>
          <w:sz w:val="32"/>
          <w:szCs w:val="32"/>
        </w:rPr>
        <w:br w:type="page" w:clear="all"/>
      </w:r>
      <w:bookmarkStart w:id="123" w:name="_Toc9021"/>
      <w:r>
        <w:rPr>
          <w:rFonts w:hint="eastAsia" w:ascii="宋体" w:hAnsi="宋体" w:cs="宋体"/>
          <w:b/>
          <w:iCs/>
          <w:sz w:val="32"/>
          <w:szCs w:val="32"/>
        </w:rPr>
        <w:t xml:space="preserve">十二、质疑函范本</w:t>
      </w:r>
      <w:bookmarkEnd w:id="123"/>
      <w:r/>
      <w:r/>
    </w:p>
    <w:p>
      <w:pPr>
        <w:jc w:val="center"/>
        <w:rPr>
          <w:rFonts w:hint="eastAsia" w:ascii="宋体" w:hAnsi="宋体" w:cs="宋体"/>
          <w:b/>
          <w:bCs/>
          <w:sz w:val="32"/>
          <w:szCs w:val="32"/>
        </w:rPr>
      </w:pPr>
      <w:r>
        <w:rPr>
          <w:rFonts w:hint="eastAsia" w:ascii="宋体" w:hAnsi="宋体" w:cs="宋体"/>
          <w:b/>
          <w:bCs/>
          <w:sz w:val="32"/>
          <w:szCs w:val="32"/>
        </w:rPr>
        <w:t xml:space="preserve">质疑函范本</w:t>
      </w:r>
      <w:r/>
    </w:p>
    <w:p>
      <w:pPr>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p>
    <w:p>
      <w:pPr>
        <w:spacing w:line="360" w:lineRule="auto"/>
        <w:rPr>
          <w:rFonts w:hint="eastAsia" w:ascii="宋体" w:hAnsi="宋体" w:cs="宋体"/>
          <w:sz w:val="24"/>
          <w:szCs w:val="24"/>
        </w:rPr>
      </w:pPr>
      <w:r>
        <w:rPr>
          <w:rFonts w:hint="eastAsia" w:ascii="宋体" w:hAnsi="宋体" w:cs="宋体"/>
          <w:sz w:val="24"/>
          <w:szCs w:val="24"/>
        </w:rPr>
        <w:t xml:space="preserve">……</w:t>
      </w:r>
      <w:r/>
    </w:p>
    <w:p>
      <w:pPr>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签字(签章)：                   公章：                      </w:t>
      </w:r>
      <w:r/>
    </w:p>
    <w:p>
      <w:pPr>
        <w:rPr>
          <w:rFonts w:hint="eastAsia" w:ascii="宋体" w:hAnsi="宋体" w:cs="宋体"/>
          <w:sz w:val="24"/>
          <w:szCs w:val="24"/>
        </w:rPr>
      </w:pPr>
      <w:r>
        <w:rPr>
          <w:rFonts w:hint="eastAsia" w:ascii="宋体" w:hAnsi="宋体" w:cs="宋体"/>
          <w:sz w:val="24"/>
          <w:szCs w:val="24"/>
        </w:rPr>
        <w:t xml:space="preserve">日期：    </w:t>
      </w:r>
      <w:r/>
    </w:p>
    <w:p>
      <w:pPr>
        <w:spacing w:line="400" w:lineRule="exact"/>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cs="宋体"/>
          <w:sz w:val="24"/>
          <w:szCs w:val="24"/>
        </w:rPr>
      </w:pPr>
      <w:r>
        <w:rPr>
          <w:rFonts w:hint="eastAsia" w:ascii="宋体" w:hAnsi="宋体" w:cs="宋体"/>
          <w:sz w:val="24"/>
          <w:szCs w:val="24"/>
        </w:rPr>
      </w:r>
      <w:r/>
    </w:p>
    <w:p>
      <w:pPr>
        <w:ind w:firstLine="420"/>
        <w:rPr>
          <w:rFonts w:hint="eastAsia" w:ascii="宋体" w:hAnsi="宋体" w:cs="宋体"/>
          <w:sz w:val="24"/>
          <w:szCs w:val="24"/>
        </w:rPr>
      </w:pPr>
      <w:r>
        <w:rPr>
          <w:rFonts w:hint="eastAsia" w:ascii="宋体" w:hAnsi="宋体" w:cs="宋体"/>
          <w:sz w:val="24"/>
          <w:szCs w:val="24"/>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34">
    <w:name w:val="Heading 1"/>
    <w:basedOn w:val="733"/>
    <w:next w:val="733"/>
    <w:link w:val="812"/>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813"/>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814"/>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45"/>
    <w:link w:val="815"/>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16"/>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17"/>
    <w:uiPriority w:val="9"/>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18"/>
    <w:uiPriority w:val="9"/>
    <w:unhideWhenUsed/>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19"/>
    <w:uiPriority w:val="9"/>
    <w:unhideWhenUsed/>
    <w:qFormat/>
    <w:pPr>
      <w:keepLines/>
      <w:keepNext/>
      <w:spacing w:before="320" w:after="200"/>
      <w:outlineLvl w:val="7"/>
    </w:pPr>
    <w:rPr>
      <w:rFonts w:ascii="Arial" w:hAnsi="Arial" w:eastAsia="Arial" w:cs="Arial"/>
      <w:i/>
      <w:iCs/>
      <w:sz w:val="22"/>
    </w:rPr>
  </w:style>
  <w:style w:type="paragraph" w:styleId="742">
    <w:name w:val="Heading 9"/>
    <w:basedOn w:val="733"/>
    <w:next w:val="733"/>
    <w:link w:val="820"/>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Normal Indent"/>
    <w:basedOn w:val="733"/>
    <w:uiPriority w:val="0"/>
    <w:qFormat/>
    <w:pPr>
      <w:ind w:firstLine="420"/>
    </w:pPr>
    <w:rPr>
      <w:szCs w:val="21"/>
    </w:rPr>
  </w:style>
  <w:style w:type="paragraph" w:styleId="746">
    <w:name w:val="toc 7"/>
    <w:basedOn w:val="733"/>
    <w:next w:val="733"/>
    <w:uiPriority w:val="39"/>
    <w:unhideWhenUsed/>
    <w:qFormat/>
    <w:pPr>
      <w:ind w:left="1701"/>
      <w:spacing w:after="57"/>
    </w:pPr>
  </w:style>
  <w:style w:type="paragraph" w:styleId="747">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3"/>
    <w:uiPriority w:val="99"/>
    <w:qFormat/>
    <w:pPr>
      <w:jc w:val="left"/>
    </w:pPr>
    <w:rPr>
      <w:szCs w:val="20"/>
    </w:rPr>
  </w:style>
  <w:style w:type="paragraph" w:styleId="749">
    <w:name w:val="toc 5"/>
    <w:basedOn w:val="733"/>
    <w:next w:val="733"/>
    <w:uiPriority w:val="39"/>
    <w:unhideWhenUsed/>
    <w:qFormat/>
    <w:pPr>
      <w:ind w:left="1134"/>
      <w:spacing w:after="57"/>
    </w:pPr>
  </w:style>
  <w:style w:type="paragraph" w:styleId="750">
    <w:name w:val="toc 3"/>
    <w:basedOn w:val="733"/>
    <w:next w:val="733"/>
    <w:uiPriority w:val="39"/>
    <w:unhideWhenUsed/>
    <w:qFormat/>
    <w:pPr>
      <w:ind w:left="567"/>
      <w:spacing w:after="57"/>
    </w:pPr>
  </w:style>
  <w:style w:type="paragraph" w:styleId="751">
    <w:name w:val="toc 8"/>
    <w:basedOn w:val="733"/>
    <w:next w:val="733"/>
    <w:uiPriority w:val="39"/>
    <w:unhideWhenUsed/>
    <w:qFormat/>
    <w:pPr>
      <w:ind w:left="1984"/>
      <w:spacing w:after="57"/>
    </w:pPr>
  </w:style>
  <w:style w:type="paragraph" w:styleId="752">
    <w:name w:val="endnote text"/>
    <w:basedOn w:val="733"/>
    <w:link w:val="958"/>
    <w:uiPriority w:val="99"/>
    <w:semiHidden/>
    <w:unhideWhenUsed/>
    <w:qFormat/>
    <w:rPr>
      <w:sz w:val="20"/>
    </w:rPr>
  </w:style>
  <w:style w:type="paragraph" w:styleId="753">
    <w:name w:val="Footer"/>
    <w:basedOn w:val="733"/>
    <w:next w:val="733"/>
    <w:link w:val="831"/>
    <w:uiPriority w:val="99"/>
    <w:unhideWhenUsed/>
    <w:qFormat/>
    <w:pPr>
      <w:tabs>
        <w:tab w:val="center" w:pos="7143" w:leader="none"/>
        <w:tab w:val="right" w:pos="14287" w:leader="none"/>
      </w:tabs>
    </w:pPr>
  </w:style>
  <w:style w:type="paragraph" w:styleId="754">
    <w:name w:val="envelope return"/>
    <w:basedOn w:val="755"/>
    <w:uiPriority w:val="0"/>
    <w:qFormat/>
    <w:rPr>
      <w:rFonts w:ascii="Arial" w:hAnsi="Arial" w:cs="Arial"/>
      <w:szCs w:val="24"/>
    </w:rPr>
  </w:style>
  <w:style w:type="paragraph" w:styleId="755" w:customStyle="1">
    <w:name w:val="正文_2"/>
    <w:next w:val="756"/>
    <w:uiPriority w:val="0"/>
    <w:qFormat/>
    <w:pPr>
      <w:jc w:val="both"/>
      <w:widowControl w:val="off"/>
    </w:pPr>
    <w:rPr>
      <w:rFonts w:ascii="Times New Roman" w:hAnsi="Times New Roman" w:eastAsia="宋体" w:cs="Times New Roman"/>
      <w:sz w:val="21"/>
      <w:szCs w:val="22"/>
      <w:lang w:val="en-US" w:eastAsia="zh-CN" w:bidi="ar-SA"/>
    </w:rPr>
  </w:style>
  <w:style w:type="paragraph" w:styleId="756" w:customStyle="1">
    <w:name w:val="正文首行缩进 2_0"/>
    <w:basedOn w:val="757"/>
    <w:uiPriority w:val="0"/>
    <w:qFormat/>
    <w:pPr>
      <w:ind w:left="420" w:firstLine="420"/>
      <w:spacing w:before="0" w:after="120" w:line="240" w:lineRule="auto"/>
    </w:pPr>
    <w:rPr>
      <w:rFonts w:ascii="Times New Roman" w:hAnsi="Times New Roman"/>
      <w:szCs w:val="24"/>
    </w:rPr>
  </w:style>
  <w:style w:type="paragraph" w:styleId="757" w:customStyle="1">
    <w:name w:val="正文文本缩进_0"/>
    <w:basedOn w:val="755"/>
    <w:next w:val="754"/>
    <w:uiPriority w:val="0"/>
    <w:unhideWhenUsed/>
    <w:qFormat/>
    <w:pPr>
      <w:ind w:firstLine="552"/>
      <w:spacing w:before="240" w:line="360" w:lineRule="auto"/>
    </w:pPr>
    <w:rPr>
      <w:rFonts w:ascii="宋体" w:hAnsi="宋体"/>
      <w:szCs w:val="20"/>
    </w:rPr>
  </w:style>
  <w:style w:type="paragraph" w:styleId="758">
    <w:name w:val="Header"/>
    <w:basedOn w:val="733"/>
    <w:link w:val="829"/>
    <w:uiPriority w:val="99"/>
    <w:unhideWhenUsed/>
    <w:qFormat/>
    <w:pPr>
      <w:tabs>
        <w:tab w:val="center" w:pos="7143" w:leader="none"/>
        <w:tab w:val="right" w:pos="14287" w:leader="none"/>
      </w:tabs>
    </w:pPr>
  </w:style>
  <w:style w:type="paragraph" w:styleId="759">
    <w:name w:val="toc 1"/>
    <w:basedOn w:val="733"/>
    <w:next w:val="733"/>
    <w:uiPriority w:val="39"/>
    <w:unhideWhenUsed/>
    <w:qFormat/>
    <w:pPr>
      <w:spacing w:after="57"/>
    </w:pPr>
  </w:style>
  <w:style w:type="paragraph" w:styleId="760">
    <w:name w:val="toc 4"/>
    <w:basedOn w:val="733"/>
    <w:next w:val="733"/>
    <w:uiPriority w:val="39"/>
    <w:unhideWhenUsed/>
    <w:qFormat/>
    <w:pPr>
      <w:ind w:left="850"/>
      <w:spacing w:after="57"/>
    </w:pPr>
  </w:style>
  <w:style w:type="paragraph" w:styleId="761">
    <w:name w:val="Subtitle"/>
    <w:basedOn w:val="733"/>
    <w:next w:val="733"/>
    <w:link w:val="824"/>
    <w:uiPriority w:val="11"/>
    <w:qFormat/>
    <w:pPr>
      <w:spacing w:before="200" w:after="200"/>
    </w:pPr>
    <w:rPr>
      <w:sz w:val="24"/>
      <w:szCs w:val="24"/>
    </w:rPr>
  </w:style>
  <w:style w:type="paragraph" w:styleId="762">
    <w:name w:val="footnote text"/>
    <w:basedOn w:val="733"/>
    <w:link w:val="957"/>
    <w:uiPriority w:val="99"/>
    <w:semiHidden/>
    <w:unhideWhenUsed/>
    <w:qFormat/>
    <w:pPr>
      <w:spacing w:after="40"/>
    </w:pPr>
    <w:rPr>
      <w:sz w:val="18"/>
    </w:rPr>
  </w:style>
  <w:style w:type="paragraph" w:styleId="763">
    <w:name w:val="toc 6"/>
    <w:basedOn w:val="733"/>
    <w:next w:val="733"/>
    <w:uiPriority w:val="39"/>
    <w:unhideWhenUsed/>
    <w:qFormat/>
    <w:pPr>
      <w:ind w:left="1417"/>
      <w:spacing w:after="57"/>
    </w:pPr>
  </w:style>
  <w:style w:type="paragraph" w:styleId="764">
    <w:name w:val="table of figures"/>
    <w:basedOn w:val="733"/>
    <w:next w:val="733"/>
    <w:uiPriority w:val="99"/>
    <w:unhideWhenUsed/>
    <w:qFormat/>
  </w:style>
  <w:style w:type="paragraph" w:styleId="765">
    <w:name w:val="toc 2"/>
    <w:basedOn w:val="733"/>
    <w:next w:val="733"/>
    <w:uiPriority w:val="39"/>
    <w:unhideWhenUsed/>
    <w:qFormat/>
    <w:pPr>
      <w:ind w:left="283"/>
      <w:spacing w:after="57"/>
    </w:pPr>
  </w:style>
  <w:style w:type="paragraph" w:styleId="766">
    <w:name w:val="toc 9"/>
    <w:basedOn w:val="733"/>
    <w:next w:val="733"/>
    <w:uiPriority w:val="39"/>
    <w:unhideWhenUsed/>
    <w:qFormat/>
    <w:pPr>
      <w:ind w:left="2268"/>
      <w:spacing w:after="57"/>
    </w:pPr>
  </w:style>
  <w:style w:type="paragraph" w:styleId="767">
    <w:name w:val="Title"/>
    <w:basedOn w:val="733"/>
    <w:next w:val="733"/>
    <w:link w:val="823"/>
    <w:uiPriority w:val="10"/>
    <w:qFormat/>
    <w:pPr>
      <w:contextualSpacing/>
      <w:spacing w:before="300" w:after="200"/>
    </w:pPr>
    <w:rPr>
      <w:sz w:val="48"/>
      <w:szCs w:val="48"/>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character" w:styleId="772" w:customStyle="1">
    <w:name w:val="Heading 1 Char"/>
    <w:basedOn w:val="743"/>
    <w:uiPriority w:val="9"/>
    <w:qFormat/>
    <w:rPr>
      <w:rFonts w:ascii="Arial" w:hAnsi="Arial" w:eastAsia="Arial" w:cs="Arial"/>
      <w:sz w:val="40"/>
      <w:szCs w:val="40"/>
    </w:rPr>
  </w:style>
  <w:style w:type="character" w:styleId="773" w:customStyle="1">
    <w:name w:val="Heading 2 Char"/>
    <w:basedOn w:val="743"/>
    <w:uiPriority w:val="9"/>
    <w:qFormat/>
    <w:rPr>
      <w:rFonts w:ascii="Arial" w:hAnsi="Arial" w:eastAsia="Arial" w:cs="Arial"/>
      <w:sz w:val="34"/>
    </w:rPr>
  </w:style>
  <w:style w:type="character" w:styleId="774" w:customStyle="1">
    <w:name w:val="Heading 3 Char"/>
    <w:basedOn w:val="743"/>
    <w:uiPriority w:val="9"/>
    <w:qFormat/>
    <w:rPr>
      <w:rFonts w:ascii="Arial" w:hAnsi="Arial" w:eastAsia="Arial" w:cs="Arial"/>
      <w:sz w:val="30"/>
      <w:szCs w:val="30"/>
    </w:rPr>
  </w:style>
  <w:style w:type="character" w:styleId="775" w:customStyle="1">
    <w:name w:val="Heading 4 Char"/>
    <w:basedOn w:val="743"/>
    <w:uiPriority w:val="9"/>
    <w:qFormat/>
    <w:rPr>
      <w:rFonts w:ascii="Arial" w:hAnsi="Arial" w:eastAsia="Arial" w:cs="Arial"/>
      <w:b/>
      <w:bCs/>
      <w:sz w:val="26"/>
      <w:szCs w:val="26"/>
    </w:rPr>
  </w:style>
  <w:style w:type="character" w:styleId="776" w:customStyle="1">
    <w:name w:val="Heading 5 Char"/>
    <w:basedOn w:val="743"/>
    <w:uiPriority w:val="9"/>
    <w:qFormat/>
    <w:rPr>
      <w:rFonts w:ascii="Arial" w:hAnsi="Arial" w:eastAsia="Arial" w:cs="Arial"/>
      <w:b/>
      <w:bCs/>
      <w:sz w:val="24"/>
      <w:szCs w:val="24"/>
    </w:rPr>
  </w:style>
  <w:style w:type="character" w:styleId="777" w:customStyle="1">
    <w:name w:val="Heading 6 Char"/>
    <w:basedOn w:val="743"/>
    <w:uiPriority w:val="9"/>
    <w:qFormat/>
    <w:rPr>
      <w:rFonts w:ascii="Arial" w:hAnsi="Arial" w:eastAsia="Arial" w:cs="Arial"/>
      <w:b/>
      <w:bCs/>
      <w:sz w:val="22"/>
      <w:szCs w:val="22"/>
    </w:rPr>
  </w:style>
  <w:style w:type="character" w:styleId="778" w:customStyle="1">
    <w:name w:val="Heading 7 Char"/>
    <w:basedOn w:val="743"/>
    <w:uiPriority w:val="9"/>
    <w:qFormat/>
    <w:rPr>
      <w:rFonts w:ascii="Arial" w:hAnsi="Arial" w:eastAsia="Arial" w:cs="Arial"/>
      <w:b/>
      <w:bCs/>
      <w:i/>
      <w:iCs/>
      <w:sz w:val="22"/>
      <w:szCs w:val="22"/>
    </w:rPr>
  </w:style>
  <w:style w:type="character" w:styleId="779" w:customStyle="1">
    <w:name w:val="Heading 8 Char"/>
    <w:basedOn w:val="743"/>
    <w:uiPriority w:val="9"/>
    <w:qFormat/>
    <w:rPr>
      <w:rFonts w:ascii="Arial" w:hAnsi="Arial" w:eastAsia="Arial" w:cs="Arial"/>
      <w:i/>
      <w:iCs/>
      <w:sz w:val="22"/>
      <w:szCs w:val="22"/>
    </w:rPr>
  </w:style>
  <w:style w:type="character" w:styleId="780" w:customStyle="1">
    <w:name w:val="Heading 9 Char"/>
    <w:basedOn w:val="743"/>
    <w:uiPriority w:val="9"/>
    <w:qFormat/>
    <w:rPr>
      <w:rFonts w:ascii="Arial" w:hAnsi="Arial" w:eastAsia="Arial" w:cs="Arial"/>
      <w:i/>
      <w:iCs/>
      <w:sz w:val="21"/>
      <w:szCs w:val="21"/>
    </w:rPr>
  </w:style>
  <w:style w:type="character" w:styleId="781" w:customStyle="1">
    <w:name w:val="Title Char"/>
    <w:basedOn w:val="743"/>
    <w:uiPriority w:val="10"/>
    <w:qFormat/>
    <w:rPr>
      <w:sz w:val="48"/>
      <w:szCs w:val="48"/>
    </w:rPr>
  </w:style>
  <w:style w:type="character" w:styleId="782" w:customStyle="1">
    <w:name w:val="Subtitle Char"/>
    <w:basedOn w:val="743"/>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Header Char"/>
    <w:basedOn w:val="743"/>
    <w:uiPriority w:val="99"/>
    <w:qFormat/>
  </w:style>
  <w:style w:type="character" w:styleId="786" w:customStyle="1">
    <w:name w:val="Caption Char"/>
    <w:uiPriority w:val="99"/>
    <w:qFormat/>
  </w:style>
  <w:style w:type="table" w:styleId="787" w:customStyle="1">
    <w:name w:val="Plain Table 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6" w:customStyle="1">
    <w:name w:val="Footnote Text Char"/>
    <w:link w:val="807"/>
    <w:uiPriority w:val="99"/>
    <w:qFormat/>
    <w:rPr>
      <w:sz w:val="18"/>
    </w:rPr>
  </w:style>
  <w:style w:type="paragraph" w:styleId="807" w:customStyle="1">
    <w:name w:val="脚注文本1"/>
    <w:basedOn w:val="808"/>
    <w:next w:val="809"/>
    <w:link w:val="806"/>
    <w:uiPriority w:val="0"/>
    <w:qFormat/>
    <w:rPr>
      <w:rFonts w:ascii="宋体" w:eastAsia="Times New Roman"/>
      <w:bCs/>
      <w:sz w:val="18"/>
      <w:szCs w:val="18"/>
    </w:rPr>
  </w:style>
  <w:style w:type="paragraph" w:styleId="808" w:customStyle="1">
    <w:name w:val="Normal_0_1"/>
    <w:next w:val="807"/>
    <w:uiPriority w:val="0"/>
    <w:qFormat/>
    <w:rPr>
      <w:rFonts w:ascii="黑体" w:hAnsi="黑体" w:eastAsia="黑体" w:cs="Times New Roman"/>
      <w:b/>
      <w:sz w:val="32"/>
      <w:szCs w:val="24"/>
      <w:lang w:val="en-US" w:eastAsia="zh-CN" w:bidi="ar-SA"/>
    </w:rPr>
  </w:style>
  <w:style w:type="paragraph" w:styleId="809" w:customStyle="1">
    <w:name w:val="索引 51"/>
    <w:basedOn w:val="808"/>
    <w:next w:val="808"/>
    <w:uiPriority w:val="0"/>
    <w:qFormat/>
    <w:pPr>
      <w:ind w:left="800"/>
    </w:pPr>
    <w:rPr>
      <w:rFonts w:ascii="Calibri" w:hAnsi="Calibri"/>
      <w:szCs w:val="22"/>
    </w:rPr>
  </w:style>
  <w:style w:type="character" w:styleId="810" w:customStyle="1">
    <w:name w:val="Endnote Text Char"/>
    <w:uiPriority w:val="99"/>
    <w:qFormat/>
    <w:rPr>
      <w:sz w:val="20"/>
    </w:rPr>
  </w:style>
  <w:style w:type="paragraph" w:styleId="811" w:customStyle="1">
    <w:name w:val="TOC Heading"/>
    <w:uiPriority w:val="39"/>
    <w:unhideWhenUsed/>
    <w:qFormat/>
    <w:rPr>
      <w:rFonts w:ascii="Times New Roman" w:hAnsi="Times New Roman" w:eastAsia="宋体" w:cs="Times New Roman"/>
      <w:lang w:val="en-US" w:eastAsia="zh-CN" w:bidi="ar-SA"/>
    </w:rPr>
  </w:style>
  <w:style w:type="character" w:styleId="812" w:customStyle="1">
    <w:name w:val="标题 1 字符"/>
    <w:link w:val="734"/>
    <w:uiPriority w:val="9"/>
    <w:qFormat/>
    <w:rPr>
      <w:rFonts w:ascii="Arial" w:hAnsi="Arial" w:eastAsia="Arial" w:cs="Arial"/>
      <w:sz w:val="40"/>
      <w:szCs w:val="40"/>
    </w:rPr>
  </w:style>
  <w:style w:type="character" w:styleId="813" w:customStyle="1">
    <w:name w:val="标题 2 字符1"/>
    <w:link w:val="735"/>
    <w:uiPriority w:val="9"/>
    <w:qFormat/>
    <w:rPr>
      <w:rFonts w:ascii="Arial" w:hAnsi="Arial" w:eastAsia="Arial" w:cs="Arial"/>
      <w:sz w:val="34"/>
    </w:rPr>
  </w:style>
  <w:style w:type="character" w:styleId="814" w:customStyle="1">
    <w:name w:val="标题 3 字符"/>
    <w:link w:val="736"/>
    <w:uiPriority w:val="9"/>
    <w:qFormat/>
    <w:rPr>
      <w:rFonts w:ascii="Arial" w:hAnsi="Arial" w:eastAsia="Arial" w:cs="Arial"/>
      <w:sz w:val="30"/>
      <w:szCs w:val="30"/>
    </w:rPr>
  </w:style>
  <w:style w:type="character" w:styleId="815" w:customStyle="1">
    <w:name w:val="标题 4 字符1"/>
    <w:link w:val="737"/>
    <w:uiPriority w:val="9"/>
    <w:qFormat/>
    <w:rPr>
      <w:rFonts w:ascii="Arial" w:hAnsi="Arial" w:eastAsia="Arial" w:cs="Arial"/>
      <w:b/>
      <w:bCs/>
      <w:sz w:val="26"/>
      <w:szCs w:val="26"/>
    </w:rPr>
  </w:style>
  <w:style w:type="character" w:styleId="816" w:customStyle="1">
    <w:name w:val="标题 5 字符"/>
    <w:link w:val="738"/>
    <w:uiPriority w:val="9"/>
    <w:qFormat/>
    <w:rPr>
      <w:rFonts w:ascii="Arial" w:hAnsi="Arial" w:eastAsia="Arial" w:cs="Arial"/>
      <w:b/>
      <w:bCs/>
      <w:sz w:val="24"/>
      <w:szCs w:val="24"/>
    </w:rPr>
  </w:style>
  <w:style w:type="character" w:styleId="817" w:customStyle="1">
    <w:name w:val="标题 6 字符"/>
    <w:link w:val="739"/>
    <w:uiPriority w:val="9"/>
    <w:qFormat/>
    <w:rPr>
      <w:rFonts w:ascii="Arial" w:hAnsi="Arial" w:eastAsia="Arial" w:cs="Arial"/>
      <w:b/>
      <w:bCs/>
      <w:sz w:val="22"/>
      <w:szCs w:val="22"/>
    </w:rPr>
  </w:style>
  <w:style w:type="character" w:styleId="818" w:customStyle="1">
    <w:name w:val="标题 7 字符"/>
    <w:link w:val="740"/>
    <w:uiPriority w:val="9"/>
    <w:qFormat/>
    <w:rPr>
      <w:rFonts w:ascii="Arial" w:hAnsi="Arial" w:eastAsia="Arial" w:cs="Arial"/>
      <w:b/>
      <w:bCs/>
      <w:i/>
      <w:iCs/>
      <w:sz w:val="22"/>
      <w:szCs w:val="22"/>
    </w:rPr>
  </w:style>
  <w:style w:type="character" w:styleId="819" w:customStyle="1">
    <w:name w:val="标题 8 字符"/>
    <w:link w:val="741"/>
    <w:uiPriority w:val="9"/>
    <w:qFormat/>
    <w:rPr>
      <w:rFonts w:ascii="Arial" w:hAnsi="Arial" w:eastAsia="Arial" w:cs="Arial"/>
      <w:i/>
      <w:iCs/>
      <w:sz w:val="22"/>
      <w:szCs w:val="22"/>
    </w:rPr>
  </w:style>
  <w:style w:type="character" w:styleId="820" w:customStyle="1">
    <w:name w:val="标题 9 字符"/>
    <w:link w:val="742"/>
    <w:uiPriority w:val="9"/>
    <w:qFormat/>
    <w:rPr>
      <w:rFonts w:ascii="Arial" w:hAnsi="Arial" w:eastAsia="Arial" w:cs="Arial"/>
      <w:i/>
      <w:iCs/>
      <w:sz w:val="21"/>
      <w:szCs w:val="21"/>
    </w:rPr>
  </w:style>
  <w:style w:type="paragraph" w:styleId="821">
    <w:name w:val="List Paragraph"/>
    <w:basedOn w:val="733"/>
    <w:uiPriority w:val="34"/>
    <w:qFormat/>
    <w:pPr>
      <w:contextualSpacing/>
      <w:ind w:left="720"/>
    </w:p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字符"/>
    <w:link w:val="767"/>
    <w:uiPriority w:val="10"/>
    <w:qFormat/>
    <w:rPr>
      <w:sz w:val="48"/>
      <w:szCs w:val="48"/>
    </w:rPr>
  </w:style>
  <w:style w:type="character" w:styleId="824" w:customStyle="1">
    <w:name w:val="副标题 字符"/>
    <w:link w:val="761"/>
    <w:uiPriority w:val="11"/>
    <w:qFormat/>
    <w:rPr>
      <w:sz w:val="24"/>
      <w:szCs w:val="24"/>
    </w:rPr>
  </w:style>
  <w:style w:type="paragraph" w:styleId="825">
    <w:name w:val="Quote"/>
    <w:basedOn w:val="733"/>
    <w:next w:val="733"/>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33"/>
    <w:next w:val="733"/>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58"/>
    <w:uiPriority w:val="99"/>
    <w:qFormat/>
  </w:style>
  <w:style w:type="character" w:styleId="830" w:customStyle="1">
    <w:name w:val="Footer Char"/>
    <w:uiPriority w:val="99"/>
    <w:qFormat/>
  </w:style>
  <w:style w:type="character" w:styleId="831" w:customStyle="1">
    <w:name w:val="页脚 字符"/>
    <w:link w:val="753"/>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62"/>
    <w:uiPriority w:val="99"/>
    <w:qFormat/>
    <w:rPr>
      <w:sz w:val="18"/>
    </w:rPr>
  </w:style>
  <w:style w:type="character" w:styleId="958" w:customStyle="1">
    <w:name w:val="尾注文本 字符"/>
    <w:link w:val="752"/>
    <w:uiPriority w:val="99"/>
    <w:qFormat/>
    <w:rPr>
      <w:sz w:val="20"/>
    </w:rPr>
  </w:style>
  <w:style w:type="paragraph" w:styleId="959" w:customStyle="1">
    <w:name w:val="TOC 标题1"/>
    <w:uiPriority w:val="39"/>
    <w:unhideWhenUsed/>
    <w:qFormat/>
    <w:rPr>
      <w:rFonts w:ascii="Times New Roman" w:hAnsi="Times New Roman" w:eastAsia="宋体" w:cs="Times New Roman"/>
      <w:lang w:val="en-US" w:eastAsia="zh-CN" w:bidi="ar-SA"/>
    </w:rPr>
  </w:style>
  <w:style w:type="paragraph" w:styleId="960" w:customStyle="1">
    <w:name w:val="标题 11"/>
    <w:basedOn w:val="733"/>
    <w:next w:val="733"/>
    <w:link w:val="972"/>
    <w:uiPriority w:val="0"/>
    <w:qFormat/>
    <w:pPr>
      <w:jc w:val="center"/>
      <w:keepNext/>
      <w:outlineLvl w:val="0"/>
    </w:pPr>
    <w:rPr>
      <w:rFonts w:ascii="楷体_GB2312" w:eastAsia="楷体_GB2312"/>
      <w:sz w:val="28"/>
      <w:szCs w:val="28"/>
    </w:rPr>
  </w:style>
  <w:style w:type="paragraph" w:styleId="961" w:customStyle="1">
    <w:name w:val="标题 211"/>
    <w:basedOn w:val="733"/>
    <w:next w:val="962"/>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
    <w:basedOn w:val="733"/>
    <w:link w:val="974"/>
    <w:uiPriority w:val="0"/>
    <w:qFormat/>
    <w:pPr>
      <w:ind w:firstLine="420"/>
    </w:pPr>
    <w:rPr>
      <w:szCs w:val="21"/>
    </w:rPr>
  </w:style>
  <w:style w:type="paragraph" w:styleId="963" w:customStyle="1">
    <w:name w:val="标题 31"/>
    <w:basedOn w:val="733"/>
    <w:next w:val="962"/>
    <w:link w:val="975"/>
    <w:uiPriority w:val="0"/>
    <w:qFormat/>
    <w:pPr>
      <w:keepLines/>
      <w:keepNext/>
      <w:spacing w:before="260" w:after="260" w:line="416" w:lineRule="auto"/>
      <w:outlineLvl w:val="2"/>
    </w:pPr>
    <w:rPr>
      <w:b/>
      <w:bCs/>
      <w:sz w:val="32"/>
      <w:szCs w:val="32"/>
    </w:rPr>
  </w:style>
  <w:style w:type="paragraph" w:styleId="964" w:customStyle="1">
    <w:name w:val="标题 41"/>
    <w:basedOn w:val="733"/>
    <w:next w:val="962"/>
    <w:link w:val="976"/>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标题 51"/>
    <w:basedOn w:val="733"/>
    <w:next w:val="962"/>
    <w:link w:val="977"/>
    <w:uiPriority w:val="0"/>
    <w:qFormat/>
    <w:pPr>
      <w:keepNext/>
      <w:outlineLvl w:val="4"/>
    </w:pPr>
    <w:rPr>
      <w:rFonts w:ascii="宋体"/>
      <w:color w:val="000000"/>
      <w:sz w:val="28"/>
      <w:szCs w:val="28"/>
    </w:rPr>
  </w:style>
  <w:style w:type="paragraph" w:styleId="966" w:customStyle="1">
    <w:name w:val="标题 61"/>
    <w:basedOn w:val="733"/>
    <w:next w:val="733"/>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33"/>
    <w:next w:val="733"/>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33"/>
    <w:next w:val="733"/>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33"/>
    <w:next w:val="733"/>
    <w:link w:val="981"/>
    <w:uiPriority w:val="0"/>
    <w:qFormat/>
    <w:pPr>
      <w:numPr>
        <w:ilvl w:val="8"/>
        <w:numId w:val="1"/>
      </w:numPr>
      <w:keepLines/>
      <w:keepNext/>
      <w:spacing w:before="240" w:after="64" w:line="320" w:lineRule="auto"/>
      <w:outlineLvl w:val="8"/>
    </w:pPr>
    <w:rPr>
      <w:rFonts w:ascii="Arial" w:hAnsi="Arial" w:eastAsia="黑体"/>
      <w:szCs w:val="21"/>
    </w:rPr>
  </w:style>
  <w:style w:type="character" w:styleId="970" w:customStyle="1">
    <w:name w:val="默认段落字体1"/>
    <w:uiPriority w:val="1"/>
    <w:unhideWhenUsed/>
    <w:qFormat/>
  </w:style>
  <w:style w:type="table" w:styleId="971" w:customStyle="1">
    <w:name w:val="普通表格1"/>
    <w:uiPriority w:val="99"/>
    <w:unhideWhenUsed/>
    <w:qFormat/>
    <w:tblPr>
      <w:tblCellMar>
        <w:left w:w="0" w:type="dxa"/>
        <w:top w:w="0" w:type="dxa"/>
        <w:right w:w="0" w:type="dxa"/>
        <w:bottom w:w="0" w:type="dxa"/>
      </w:tblCellMar>
    </w:tblPr>
  </w:style>
  <w:style w:type="character" w:styleId="972" w:customStyle="1">
    <w:name w:val="标题 1 Char"/>
    <w:link w:val="960"/>
    <w:uiPriority w:val="0"/>
    <w:qFormat/>
    <w:rPr>
      <w:rFonts w:ascii="楷体_GB2312" w:hAnsi="Times New Roman" w:eastAsia="楷体_GB2312" w:cs="Times New Roman"/>
      <w:sz w:val="28"/>
      <w:szCs w:val="28"/>
    </w:rPr>
  </w:style>
  <w:style w:type="character" w:styleId="973" w:customStyle="1">
    <w:name w:val="标题 2 Char"/>
    <w:link w:val="961"/>
    <w:uiPriority w:val="0"/>
    <w:qFormat/>
    <w:rPr>
      <w:rFonts w:ascii="Arial" w:hAnsi="Arial" w:eastAsia="幼圆" w:cs="Arial"/>
      <w:b/>
      <w:bCs/>
      <w:sz w:val="44"/>
      <w:szCs w:val="44"/>
    </w:rPr>
  </w:style>
  <w:style w:type="character" w:styleId="974" w:customStyle="1">
    <w:name w:val="正文缩进 Char"/>
    <w:link w:val="962"/>
    <w:uiPriority w:val="0"/>
    <w:qFormat/>
    <w:rPr>
      <w:szCs w:val="21"/>
    </w:rPr>
  </w:style>
  <w:style w:type="character" w:styleId="975" w:customStyle="1">
    <w:name w:val="标题 3 Char"/>
    <w:link w:val="963"/>
    <w:uiPriority w:val="0"/>
    <w:qFormat/>
    <w:rPr>
      <w:rFonts w:ascii="Times New Roman" w:hAnsi="Times New Roman" w:eastAsia="宋体" w:cs="Times New Roman"/>
      <w:b/>
      <w:bCs/>
      <w:sz w:val="32"/>
      <w:szCs w:val="32"/>
    </w:rPr>
  </w:style>
  <w:style w:type="character" w:styleId="976" w:customStyle="1">
    <w:name w:val="标题 4 Char"/>
    <w:link w:val="964"/>
    <w:uiPriority w:val="0"/>
    <w:qFormat/>
    <w:rPr>
      <w:rFonts w:ascii="Arial" w:hAnsi="Arial" w:eastAsia="黑体" w:cs="Arial"/>
      <w:b/>
      <w:bCs/>
      <w:sz w:val="28"/>
      <w:szCs w:val="28"/>
    </w:rPr>
  </w:style>
  <w:style w:type="character" w:styleId="977" w:customStyle="1">
    <w:name w:val="标题 5 Char"/>
    <w:link w:val="965"/>
    <w:uiPriority w:val="0"/>
    <w:qFormat/>
    <w:rPr>
      <w:rFonts w:ascii="宋体" w:hAnsi="Times New Roman" w:eastAsia="宋体" w:cs="Times New Roman"/>
      <w:color w:val="000000"/>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Times New Roman" w:hAnsi="Times New Roman" w:eastAsia="宋体" w:cs="Times New Roman"/>
      <w:b/>
      <w:bCs/>
      <w:sz w:val="24"/>
      <w:szCs w:val="24"/>
    </w:rPr>
  </w:style>
  <w:style w:type="character" w:styleId="980" w:customStyle="1">
    <w:name w:val="标题 8 Char"/>
    <w:link w:val="968"/>
    <w:uiPriority w:val="0"/>
    <w:qFormat/>
    <w:rPr>
      <w:rFonts w:ascii="Arial" w:hAnsi="Arial" w:eastAsia="黑体" w:cs="Times New Roman"/>
      <w:sz w:val="24"/>
      <w:szCs w:val="24"/>
    </w:rPr>
  </w:style>
  <w:style w:type="character" w:styleId="981" w:customStyle="1">
    <w:name w:val="标题 9 Char"/>
    <w:link w:val="969"/>
    <w:uiPriority w:val="0"/>
    <w:qFormat/>
    <w:rPr>
      <w:rFonts w:ascii="Arial" w:hAnsi="Arial" w:eastAsia="黑体" w:cs="Times New Roman"/>
      <w:szCs w:val="21"/>
    </w:rPr>
  </w:style>
  <w:style w:type="paragraph" w:styleId="982" w:customStyle="1">
    <w:name w:val="列表 31"/>
    <w:basedOn w:val="733"/>
    <w:uiPriority w:val="0"/>
    <w:qFormat/>
    <w:pPr>
      <w:ind w:left="100" w:hanging="200"/>
    </w:pPr>
    <w:rPr>
      <w:szCs w:val="21"/>
    </w:rPr>
  </w:style>
  <w:style w:type="paragraph" w:styleId="983" w:customStyle="1">
    <w:name w:val="目录 71"/>
    <w:basedOn w:val="733"/>
    <w:next w:val="733"/>
    <w:uiPriority w:val="0"/>
    <w:semiHidden/>
    <w:qFormat/>
    <w:pPr>
      <w:ind w:left="1260"/>
      <w:jc w:val="left"/>
    </w:pPr>
    <w:rPr>
      <w:szCs w:val="21"/>
    </w:rPr>
  </w:style>
  <w:style w:type="paragraph" w:styleId="984" w:customStyle="1">
    <w:name w:val="文档结构图1"/>
    <w:basedOn w:val="733"/>
    <w:link w:val="985"/>
    <w:uiPriority w:val="0"/>
    <w:semiHidden/>
    <w:qFormat/>
    <w:pPr>
      <w:shd w:val="clear" w:color="auto" w:fill="000080"/>
    </w:pPr>
    <w:rPr>
      <w:szCs w:val="21"/>
    </w:r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1"/>
    <w:basedOn w:val="733"/>
    <w:link w:val="987"/>
    <w:uiPriority w:val="0"/>
    <w:unhideWhenUsed/>
    <w:qFormat/>
    <w:pPr>
      <w:jc w:val="left"/>
    </w:pPr>
  </w:style>
  <w:style w:type="character" w:styleId="987" w:customStyle="1">
    <w:name w:val="批注文字 Char"/>
    <w:basedOn w:val="970"/>
    <w:link w:val="986"/>
    <w:uiPriority w:val="99"/>
    <w:semiHidden/>
    <w:qFormat/>
  </w:style>
  <w:style w:type="paragraph" w:styleId="988" w:customStyle="1">
    <w:name w:val="正文文本 31"/>
    <w:basedOn w:val="733"/>
    <w:link w:val="989"/>
    <w:uiPriority w:val="0"/>
    <w:qFormat/>
    <w:rPr>
      <w:rFonts w:ascii="仿宋_GB2312" w:hAnsi="Arial" w:eastAsia="仿宋_GB2312"/>
      <w:sz w:val="32"/>
      <w:szCs w:val="32"/>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1"/>
    <w:basedOn w:val="733"/>
    <w:link w:val="991"/>
    <w:uiPriority w:val="0"/>
    <w:qFormat/>
    <w:rPr>
      <w:rFonts w:ascii="楷体_GB2312" w:hAnsi="Arial" w:eastAsia="楷体_GB2312"/>
      <w:sz w:val="28"/>
      <w:szCs w:val="28"/>
    </w:rPr>
  </w:style>
  <w:style w:type="character" w:styleId="991" w:customStyle="1">
    <w:name w:val="正文文本 Char"/>
    <w:link w:val="990"/>
    <w:uiPriority w:val="0"/>
    <w:qFormat/>
    <w:rPr>
      <w:rFonts w:ascii="楷体_GB2312" w:hAnsi="Arial" w:eastAsia="楷体_GB2312" w:cs="Times New Roman"/>
      <w:sz w:val="28"/>
      <w:szCs w:val="28"/>
    </w:rPr>
  </w:style>
  <w:style w:type="paragraph" w:styleId="992" w:customStyle="1">
    <w:name w:val="正文文本缩进1"/>
    <w:basedOn w:val="733"/>
    <w:link w:val="993"/>
    <w:uiPriority w:val="0"/>
    <w:unhideWhenUsed/>
    <w:qFormat/>
    <w:pPr>
      <w:ind w:left="420"/>
      <w:spacing w:after="120"/>
    </w:pPr>
  </w:style>
  <w:style w:type="character" w:styleId="993" w:customStyle="1">
    <w:name w:val="正文文本缩进 Char"/>
    <w:basedOn w:val="970"/>
    <w:link w:val="992"/>
    <w:uiPriority w:val="99"/>
    <w:semiHidden/>
    <w:qFormat/>
  </w:style>
  <w:style w:type="paragraph" w:styleId="994" w:customStyle="1">
    <w:name w:val="列表 21"/>
    <w:basedOn w:val="733"/>
    <w:uiPriority w:val="0"/>
    <w:qFormat/>
    <w:pPr>
      <w:ind w:left="100" w:hanging="200"/>
    </w:pPr>
    <w:rPr>
      <w:szCs w:val="21"/>
    </w:rPr>
  </w:style>
  <w:style w:type="paragraph" w:styleId="995" w:customStyle="1">
    <w:name w:val="目录 51"/>
    <w:basedOn w:val="733"/>
    <w:next w:val="733"/>
    <w:uiPriority w:val="0"/>
    <w:semiHidden/>
    <w:qFormat/>
    <w:pPr>
      <w:ind w:left="840"/>
      <w:jc w:val="left"/>
    </w:pPr>
    <w:rPr>
      <w:szCs w:val="21"/>
    </w:rPr>
  </w:style>
  <w:style w:type="paragraph" w:styleId="996" w:customStyle="1">
    <w:name w:val="目录 31"/>
    <w:basedOn w:val="733"/>
    <w:next w:val="733"/>
    <w:uiPriority w:val="0"/>
    <w:semiHidden/>
    <w:qFormat/>
    <w:pPr>
      <w:ind w:left="420"/>
      <w:jc w:val="left"/>
    </w:pPr>
    <w:rPr>
      <w:i/>
      <w:iCs/>
      <w:szCs w:val="24"/>
    </w:rPr>
  </w:style>
  <w:style w:type="paragraph" w:styleId="997" w:customStyle="1">
    <w:name w:val="纯文本1"/>
    <w:basedOn w:val="733"/>
    <w:link w:val="998"/>
    <w:uiPriority w:val="0"/>
    <w:qFormat/>
    <w:rPr>
      <w:rFonts w:ascii="宋体" w:hAnsi="Courier New" w:cs="Courier New"/>
      <w:szCs w:val="21"/>
    </w:rPr>
  </w:style>
  <w:style w:type="character" w:styleId="998" w:customStyle="1">
    <w:name w:val="纯文本 Char"/>
    <w:link w:val="997"/>
    <w:uiPriority w:val="0"/>
    <w:qFormat/>
    <w:rPr>
      <w:rFonts w:ascii="宋体" w:hAnsi="Courier New" w:eastAsia="宋体" w:cs="Courier New"/>
      <w:szCs w:val="21"/>
    </w:rPr>
  </w:style>
  <w:style w:type="paragraph" w:styleId="999" w:customStyle="1">
    <w:name w:val="目录 81"/>
    <w:basedOn w:val="733"/>
    <w:next w:val="733"/>
    <w:uiPriority w:val="0"/>
    <w:semiHidden/>
    <w:qFormat/>
    <w:pPr>
      <w:ind w:left="1470"/>
      <w:jc w:val="left"/>
    </w:pPr>
    <w:rPr>
      <w:szCs w:val="21"/>
    </w:rPr>
  </w:style>
  <w:style w:type="paragraph" w:styleId="1000" w:customStyle="1">
    <w:name w:val="日期1"/>
    <w:basedOn w:val="733"/>
    <w:next w:val="733"/>
    <w:link w:val="1001"/>
    <w:uiPriority w:val="0"/>
    <w:qFormat/>
    <w:rPr>
      <w:sz w:val="24"/>
      <w:szCs w:val="24"/>
    </w:rPr>
  </w:style>
  <w:style w:type="character" w:styleId="1001" w:customStyle="1">
    <w:name w:val="日期 Char"/>
    <w:link w:val="1000"/>
    <w:uiPriority w:val="0"/>
    <w:qFormat/>
    <w:rPr>
      <w:rFonts w:ascii="Times New Roman" w:hAnsi="Times New Roman" w:eastAsia="宋体" w:cs="Times New Roman"/>
      <w:sz w:val="24"/>
      <w:szCs w:val="24"/>
    </w:rPr>
  </w:style>
  <w:style w:type="paragraph" w:styleId="1002" w:customStyle="1">
    <w:name w:val="正文文本缩进 21"/>
    <w:basedOn w:val="733"/>
    <w:link w:val="1003"/>
    <w:uiPriority w:val="0"/>
    <w:qFormat/>
    <w:pPr>
      <w:ind w:left="630" w:firstLine="645"/>
    </w:pPr>
    <w:rPr>
      <w:rFonts w:ascii="Arial" w:hAnsi="Arial" w:eastAsia="仿宋_GB2312" w:cs="Arial"/>
      <w:sz w:val="32"/>
      <w:szCs w:val="32"/>
    </w:rPr>
  </w:style>
  <w:style w:type="character" w:styleId="1003" w:customStyle="1">
    <w:name w:val="正文文本缩进 2 Char"/>
    <w:link w:val="1002"/>
    <w:uiPriority w:val="0"/>
    <w:qFormat/>
    <w:rPr>
      <w:rFonts w:ascii="Arial" w:hAnsi="Arial" w:eastAsia="仿宋_GB2312" w:cs="Arial"/>
      <w:sz w:val="32"/>
      <w:szCs w:val="32"/>
    </w:rPr>
  </w:style>
  <w:style w:type="paragraph" w:styleId="1004" w:customStyle="1">
    <w:name w:val="批注框文本1"/>
    <w:basedOn w:val="733"/>
    <w:link w:val="1005"/>
    <w:uiPriority w:val="0"/>
    <w:semiHidden/>
    <w:qFormat/>
    <w:rPr>
      <w:sz w:val="18"/>
      <w:szCs w:val="18"/>
    </w:rPr>
  </w:style>
  <w:style w:type="character" w:styleId="1005" w:customStyle="1">
    <w:name w:val="批注框文本 Char"/>
    <w:link w:val="1004"/>
    <w:uiPriority w:val="0"/>
    <w:semiHidden/>
    <w:qFormat/>
    <w:rPr>
      <w:rFonts w:ascii="Times New Roman" w:hAnsi="Times New Roman" w:eastAsia="宋体" w:cs="Times New Roman"/>
      <w:sz w:val="18"/>
      <w:szCs w:val="18"/>
    </w:rPr>
  </w:style>
  <w:style w:type="paragraph" w:styleId="1006" w:customStyle="1">
    <w:name w:val="页脚1"/>
    <w:basedOn w:val="733"/>
    <w:link w:val="1007"/>
    <w:uiPriority w:val="0"/>
    <w:qFormat/>
    <w:pPr>
      <w:jc w:val="left"/>
      <w:tabs>
        <w:tab w:val="center" w:pos="4153" w:leader="none"/>
        <w:tab w:val="right" w:pos="8306" w:leader="none"/>
      </w:tabs>
    </w:pPr>
    <w:rPr>
      <w:sz w:val="18"/>
      <w:szCs w:val="18"/>
    </w:rPr>
  </w:style>
  <w:style w:type="character" w:styleId="1007" w:customStyle="1">
    <w:name w:val="页脚 Char"/>
    <w:link w:val="1006"/>
    <w:uiPriority w:val="0"/>
    <w:qFormat/>
    <w:rPr>
      <w:rFonts w:ascii="Times New Roman" w:hAnsi="Times New Roman" w:eastAsia="宋体" w:cs="Times New Roman"/>
      <w:sz w:val="18"/>
      <w:szCs w:val="18"/>
    </w:rPr>
  </w:style>
  <w:style w:type="paragraph" w:styleId="1008" w:customStyle="1">
    <w:name w:val="页眉1"/>
    <w:basedOn w:val="733"/>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qFormat/>
    <w:rPr>
      <w:rFonts w:ascii="Times New Roman" w:hAnsi="Times New Roman" w:eastAsia="宋体" w:cs="Times New Roman"/>
      <w:sz w:val="18"/>
      <w:szCs w:val="18"/>
    </w:rPr>
  </w:style>
  <w:style w:type="paragraph" w:styleId="1010" w:customStyle="1">
    <w:name w:val="目录 11"/>
    <w:basedOn w:val="733"/>
    <w:next w:val="733"/>
    <w:uiPriority w:val="0"/>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733"/>
    <w:next w:val="733"/>
    <w:uiPriority w:val="0"/>
    <w:semiHidden/>
    <w:qFormat/>
    <w:pPr>
      <w:ind w:left="630"/>
      <w:jc w:val="left"/>
    </w:pPr>
    <w:rPr>
      <w:szCs w:val="21"/>
    </w:rPr>
  </w:style>
  <w:style w:type="paragraph" w:styleId="1012" w:customStyle="1">
    <w:name w:val="列表1"/>
    <w:basedOn w:val="733"/>
    <w:uiPriority w:val="0"/>
    <w:qFormat/>
    <w:pPr>
      <w:ind w:left="200" w:hanging="200"/>
    </w:pPr>
    <w:rPr>
      <w:szCs w:val="21"/>
    </w:rPr>
  </w:style>
  <w:style w:type="paragraph" w:styleId="1013" w:customStyle="1">
    <w:name w:val="目录 61"/>
    <w:basedOn w:val="733"/>
    <w:next w:val="733"/>
    <w:uiPriority w:val="0"/>
    <w:semiHidden/>
    <w:qFormat/>
    <w:pPr>
      <w:ind w:left="1050"/>
      <w:jc w:val="left"/>
    </w:pPr>
    <w:rPr>
      <w:szCs w:val="21"/>
    </w:rPr>
  </w:style>
  <w:style w:type="paragraph" w:styleId="1014" w:customStyle="1">
    <w:name w:val="正文文本缩进 31"/>
    <w:basedOn w:val="733"/>
    <w:link w:val="1015"/>
    <w:uiPriority w:val="0"/>
    <w:qFormat/>
    <w:pPr>
      <w:ind w:left="645" w:firstLine="645"/>
    </w:pPr>
    <w:rPr>
      <w:rFonts w:ascii="Arial" w:hAnsi="Arial" w:eastAsia="仿宋_GB2312" w:cs="Arial"/>
      <w:color w:val="ffff00"/>
      <w:sz w:val="32"/>
      <w:szCs w:val="32"/>
    </w:rPr>
  </w:style>
  <w:style w:type="character" w:styleId="1015" w:customStyle="1">
    <w:name w:val="正文文本缩进 3 Char"/>
    <w:link w:val="1014"/>
    <w:uiPriority w:val="0"/>
    <w:qFormat/>
    <w:rPr>
      <w:rFonts w:ascii="Arial" w:hAnsi="Arial" w:eastAsia="仿宋_GB2312" w:cs="Arial"/>
      <w:color w:val="ffff00"/>
      <w:sz w:val="32"/>
      <w:szCs w:val="32"/>
    </w:rPr>
  </w:style>
  <w:style w:type="paragraph" w:styleId="1016" w:customStyle="1">
    <w:name w:val="图表目录1"/>
    <w:basedOn w:val="733"/>
    <w:next w:val="733"/>
    <w:uiPriority w:val="0"/>
    <w:semiHidden/>
    <w:qFormat/>
    <w:pPr>
      <w:ind w:left="840" w:hanging="420"/>
    </w:pPr>
    <w:rPr>
      <w:szCs w:val="21"/>
    </w:rPr>
  </w:style>
  <w:style w:type="paragraph" w:styleId="1017" w:customStyle="1">
    <w:name w:val="目录 21"/>
    <w:basedOn w:val="733"/>
    <w:next w:val="733"/>
    <w:uiPriority w:val="0"/>
    <w:semiHidden/>
    <w:qFormat/>
    <w:pPr>
      <w:ind w:left="210"/>
      <w:jc w:val="left"/>
    </w:pPr>
    <w:rPr>
      <w:smallCaps/>
      <w:szCs w:val="24"/>
    </w:rPr>
  </w:style>
  <w:style w:type="paragraph" w:styleId="1018" w:customStyle="1">
    <w:name w:val="目录 91"/>
    <w:basedOn w:val="733"/>
    <w:next w:val="733"/>
    <w:uiPriority w:val="0"/>
    <w:semiHidden/>
    <w:qFormat/>
    <w:pPr>
      <w:ind w:left="1680"/>
      <w:jc w:val="left"/>
    </w:pPr>
    <w:rPr>
      <w:szCs w:val="21"/>
    </w:rPr>
  </w:style>
  <w:style w:type="paragraph" w:styleId="1019" w:customStyle="1">
    <w:name w:val="正文文本 21"/>
    <w:basedOn w:val="733"/>
    <w:link w:val="1020"/>
    <w:uiPriority w:val="0"/>
    <w:qFormat/>
    <w:pPr>
      <w:jc w:val="center"/>
      <w:widowControl/>
    </w:pPr>
    <w:rPr>
      <w:rFonts w:ascii="楷体_GB2312" w:eastAsia="楷体_GB2312"/>
      <w:sz w:val="28"/>
      <w:szCs w:val="28"/>
    </w:rPr>
  </w:style>
  <w:style w:type="character" w:styleId="1020" w:customStyle="1">
    <w:name w:val="正文文本 2 Char"/>
    <w:link w:val="1019"/>
    <w:uiPriority w:val="0"/>
    <w:qFormat/>
    <w:rPr>
      <w:rFonts w:ascii="楷体_GB2312" w:hAnsi="Times New Roman" w:eastAsia="楷体_GB2312" w:cs="Times New Roman"/>
      <w:sz w:val="28"/>
      <w:szCs w:val="28"/>
    </w:rPr>
  </w:style>
  <w:style w:type="paragraph" w:styleId="1021" w:customStyle="1">
    <w:name w:val="普通(网站)1"/>
    <w:basedOn w:val="733"/>
    <w:uiPriority w:val="99"/>
    <w:qFormat/>
    <w:pPr>
      <w:jc w:val="left"/>
      <w:spacing w:before="100" w:beforeAutospacing="1" w:after="100" w:afterAutospacing="1"/>
      <w:widowControl/>
    </w:pPr>
    <w:rPr>
      <w:rFonts w:ascii="宋体" w:hAnsi="宋体" w:cs="宋体"/>
      <w:sz w:val="24"/>
      <w:szCs w:val="24"/>
    </w:rPr>
  </w:style>
  <w:style w:type="paragraph" w:styleId="1022" w:customStyle="1">
    <w:name w:val="索引 11"/>
    <w:basedOn w:val="733"/>
    <w:next w:val="733"/>
    <w:uiPriority w:val="0"/>
    <w:semiHidden/>
    <w:qFormat/>
    <w:pPr>
      <w:spacing w:line="240" w:lineRule="atLeast"/>
    </w:pPr>
    <w:rPr>
      <w:b/>
      <w:bCs/>
      <w:szCs w:val="21"/>
    </w:rPr>
  </w:style>
  <w:style w:type="paragraph" w:styleId="1023" w:customStyle="1">
    <w:name w:val="批注主题1"/>
    <w:basedOn w:val="986"/>
    <w:next w:val="986"/>
    <w:link w:val="1024"/>
    <w:uiPriority w:val="0"/>
    <w:semiHidden/>
    <w:qFormat/>
    <w:rPr>
      <w:b/>
      <w:bCs/>
      <w:szCs w:val="21"/>
    </w:rPr>
  </w:style>
  <w:style w:type="character" w:styleId="1024" w:customStyle="1">
    <w:name w:val="批注主题 Char"/>
    <w:link w:val="1023"/>
    <w:uiPriority w:val="0"/>
    <w:semiHidden/>
    <w:qFormat/>
    <w:rPr>
      <w:rFonts w:ascii="Times New Roman" w:hAnsi="Times New Roman" w:eastAsia="宋体" w:cs="Times New Roman"/>
      <w:b/>
      <w:bCs/>
      <w:szCs w:val="21"/>
    </w:rPr>
  </w:style>
  <w:style w:type="paragraph" w:styleId="1025" w:customStyle="1">
    <w:name w:val="正文首行缩进11"/>
    <w:basedOn w:val="733"/>
    <w:link w:val="1026"/>
    <w:uiPriority w:val="0"/>
    <w:qFormat/>
    <w:pPr>
      <w:ind w:firstLine="200"/>
      <w:spacing w:line="360" w:lineRule="auto"/>
    </w:pPr>
    <w:rPr>
      <w:rFonts w:ascii="仿宋_GB2312" w:eastAsia="仿宋_GB2312"/>
      <w:sz w:val="30"/>
      <w:szCs w:val="30"/>
    </w:rPr>
  </w:style>
  <w:style w:type="character" w:styleId="1026" w:customStyle="1">
    <w:name w:val="正文首行缩进 Char"/>
    <w:link w:val="1025"/>
    <w:uiPriority w:val="0"/>
    <w:qFormat/>
    <w:rPr>
      <w:rFonts w:ascii="仿宋_GB2312" w:hAnsi="Times New Roman" w:eastAsia="仿宋_GB2312" w:cs="Times New Roman"/>
      <w:sz w:val="30"/>
      <w:szCs w:val="30"/>
    </w:rPr>
  </w:style>
  <w:style w:type="paragraph" w:styleId="1027" w:customStyle="1">
    <w:name w:val="正文首行缩进 21"/>
    <w:basedOn w:val="992"/>
    <w:link w:val="1028"/>
    <w:uiPriority w:val="0"/>
    <w:qFormat/>
    <w:pPr>
      <w:ind w:left="0" w:firstLine="420"/>
      <w:spacing w:after="0" w:line="360" w:lineRule="auto"/>
    </w:pPr>
    <w:rPr>
      <w:rFonts w:ascii="宋体" w:hAnsi="宋体"/>
      <w:szCs w:val="20"/>
    </w:rPr>
  </w:style>
  <w:style w:type="character" w:styleId="1028" w:customStyle="1">
    <w:name w:val="正文首行缩进 2 Char"/>
    <w:link w:val="1027"/>
    <w:uiPriority w:val="0"/>
    <w:qFormat/>
    <w:rPr>
      <w:rFonts w:ascii="宋体" w:hAnsi="宋体" w:eastAsia="宋体" w:cs="Times New Roman"/>
      <w:szCs w:val="20"/>
    </w:rPr>
  </w:style>
  <w:style w:type="table" w:styleId="1029" w:customStyle="1">
    <w:name w:val="网格型1"/>
    <w:basedOn w:val="971"/>
    <w:uiPriority w:val="0"/>
    <w:qFormat/>
    <w:pPr>
      <w:jc w:val="both"/>
      <w:widowControl w:val="off"/>
    </w:pPr>
    <w:tblPr/>
  </w:style>
  <w:style w:type="character" w:styleId="1030" w:customStyle="1">
    <w:name w:val="要点1"/>
    <w:uiPriority w:val="0"/>
    <w:qFormat/>
    <w:rPr>
      <w:b/>
      <w:bCs/>
    </w:rPr>
  </w:style>
  <w:style w:type="character" w:styleId="1031" w:customStyle="1">
    <w:name w:val="页码1"/>
    <w:uiPriority w:val="0"/>
    <w:qFormat/>
  </w:style>
  <w:style w:type="character" w:styleId="1032" w:customStyle="1">
    <w:name w:val="已访问的超链接1"/>
    <w:uiPriority w:val="0"/>
    <w:qFormat/>
    <w:rPr>
      <w:color w:val="800080"/>
      <w:u w:val="single"/>
    </w:rPr>
  </w:style>
  <w:style w:type="character" w:styleId="1033" w:customStyle="1">
    <w:name w:val="超链接1"/>
    <w:uiPriority w:val="0"/>
    <w:qFormat/>
    <w:rPr>
      <w:color w:val="0000ff"/>
      <w:u w:val="single"/>
    </w:rPr>
  </w:style>
  <w:style w:type="character" w:styleId="1034" w:customStyle="1">
    <w:name w:val="批注引用1"/>
    <w:uiPriority w:val="0"/>
    <w:semiHidden/>
    <w:qFormat/>
    <w:rPr>
      <w:sz w:val="21"/>
      <w:szCs w:val="21"/>
    </w:rPr>
  </w:style>
  <w:style w:type="paragraph" w:styleId="1035" w:customStyle="1">
    <w:name w:val="Heading21"/>
    <w:basedOn w:val="1036"/>
    <w:next w:val="733"/>
    <w:uiPriority w:val="0"/>
    <w:qFormat/>
    <w:pPr>
      <w:jc w:val="both"/>
      <w:keepLines/>
      <w:keepNext/>
      <w:spacing w:before="260" w:after="260" w:line="413" w:lineRule="auto"/>
      <w:widowControl w:val="off"/>
    </w:pPr>
    <w:rPr>
      <w:rFonts w:ascii="Arial" w:hAnsi="Arial" w:eastAsia="黑体"/>
      <w:b/>
      <w:sz w:val="32"/>
    </w:rPr>
  </w:style>
  <w:style w:type="paragraph" w:styleId="1036" w:customStyle="1">
    <w:name w:val="Normal_16"/>
    <w:next w:val="1037"/>
    <w:uiPriority w:val="0"/>
    <w:qFormat/>
    <w:rPr>
      <w:rFonts w:ascii="Times New Roman" w:hAnsi="Times New Roman" w:eastAsia="Times New Roman" w:cs="Times New Roman"/>
      <w:sz w:val="24"/>
      <w:szCs w:val="24"/>
      <w:lang w:val="en-US" w:eastAsia="zh-CN" w:bidi="ar-SA"/>
    </w:rPr>
  </w:style>
  <w:style w:type="paragraph" w:styleId="1037" w:customStyle="1">
    <w:name w:val="正文首行缩进1"/>
    <w:basedOn w:val="1036"/>
    <w:uiPriority w:val="0"/>
    <w:qFormat/>
    <w:pPr>
      <w:ind w:firstLine="200"/>
      <w:spacing w:line="360" w:lineRule="auto"/>
    </w:pPr>
    <w:rPr>
      <w:rFonts w:ascii="仿宋_GB2312" w:eastAsia="仿宋_GB2312"/>
      <w:sz w:val="30"/>
      <w:szCs w:val="30"/>
    </w:rPr>
  </w:style>
  <w:style w:type="character" w:styleId="1038" w:customStyle="1">
    <w:name w:val="font5 Char"/>
    <w:uiPriority w:val="0"/>
    <w:qFormat/>
    <w:rPr>
      <w:rFonts w:ascii="宋体" w:hAnsi="宋体" w:eastAsia="宋体"/>
      <w:sz w:val="28"/>
      <w:szCs w:val="28"/>
      <w:lang w:val="en-US" w:eastAsia="zh-CN" w:bidi="ar-SA"/>
    </w:rPr>
  </w:style>
  <w:style w:type="character" w:styleId="1039" w:customStyle="1">
    <w:name w:val="二级目录 Char"/>
    <w:link w:val="1040"/>
    <w:uiPriority w:val="0"/>
    <w:qFormat/>
    <w:rPr>
      <w:b/>
      <w:sz w:val="30"/>
      <w:szCs w:val="28"/>
    </w:rPr>
  </w:style>
  <w:style w:type="paragraph" w:styleId="1040" w:customStyle="1">
    <w:name w:val="二级目录"/>
    <w:next w:val="733"/>
    <w:link w:val="103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1" w:customStyle="1">
    <w:name w:val="列出段落 Char"/>
    <w:link w:val="1042"/>
    <w:uiPriority w:val="0"/>
    <w:qFormat/>
    <w:rPr>
      <w:rFonts w:ascii="Calibri" w:hAnsi="Calibri"/>
      <w:sz w:val="24"/>
      <w:szCs w:val="24"/>
      <w:lang w:eastAsia="en-US" w:bidi="en-US"/>
    </w:rPr>
  </w:style>
  <w:style w:type="paragraph" w:styleId="1042" w:customStyle="1">
    <w:name w:val="列出段落1"/>
    <w:basedOn w:val="733"/>
    <w:link w:val="1041"/>
    <w:uiPriority w:val="0"/>
    <w:qFormat/>
    <w:pPr>
      <w:contextualSpacing/>
      <w:ind w:left="720"/>
      <w:jc w:val="left"/>
      <w:widowControl/>
    </w:pPr>
    <w:rPr>
      <w:rFonts w:ascii="Calibri" w:hAnsi="Calibri"/>
      <w:sz w:val="24"/>
      <w:szCs w:val="24"/>
      <w:lang w:eastAsia="en-US" w:bidi="en-US"/>
    </w:rPr>
  </w:style>
  <w:style w:type="paragraph" w:styleId="1043" w:customStyle="1">
    <w:name w:val="Body Text(ch)"/>
    <w:basedOn w:val="733"/>
    <w:next w:val="990"/>
    <w:uiPriority w:val="0"/>
    <w:qFormat/>
    <w:pPr>
      <w:spacing w:after="120"/>
    </w:pPr>
    <w:rPr>
      <w:rFonts w:ascii="宋体" w:hAnsi="Arial"/>
      <w:bCs/>
      <w:iCs/>
      <w:szCs w:val="24"/>
    </w:rPr>
  </w:style>
  <w:style w:type="paragraph" w:styleId="1044" w:customStyle="1">
    <w:name w:val="xl27"/>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6"/>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customStyle="1">
    <w:name w:val="Char"/>
    <w:basedOn w:val="733"/>
    <w:uiPriority w:val="0"/>
    <w:qFormat/>
    <w:pPr>
      <w:ind w:firstLine="200"/>
      <w:tabs>
        <w:tab w:val="left" w:pos="360" w:leader="none"/>
      </w:tabs>
    </w:pPr>
    <w:rPr>
      <w:sz w:val="28"/>
      <w:szCs w:val="30"/>
    </w:rPr>
  </w:style>
  <w:style w:type="paragraph" w:styleId="1047" w:customStyle="1">
    <w:name w:val="Char1"/>
    <w:basedOn w:val="984"/>
    <w:uiPriority w:val="0"/>
    <w:qFormat/>
    <w:rPr>
      <w:rFonts w:ascii="Tahoma" w:hAnsi="Tahoma"/>
      <w:sz w:val="24"/>
      <w:szCs w:val="24"/>
    </w:rPr>
  </w:style>
  <w:style w:type="paragraph" w:styleId="1048" w:customStyle="1">
    <w:name w:val="普通正文"/>
    <w:basedOn w:val="733"/>
    <w:uiPriority w:val="0"/>
    <w:qFormat/>
    <w:pPr>
      <w:ind w:firstLine="480"/>
      <w:jc w:val="left"/>
      <w:spacing w:before="120" w:after="120" w:line="360" w:lineRule="auto"/>
    </w:pPr>
    <w:rPr>
      <w:rFonts w:ascii="Arial" w:hAnsi="Arial"/>
      <w:sz w:val="24"/>
      <w:szCs w:val="24"/>
    </w:rPr>
  </w:style>
  <w:style w:type="paragraph" w:styleId="1049" w:customStyle="1">
    <w:name w:val="table_lines"/>
    <w:basedOn w:val="733"/>
    <w:uiPriority w:val="0"/>
    <w:qFormat/>
    <w:pPr>
      <w:jc w:val="left"/>
      <w:widowControl/>
    </w:pPr>
    <w:rPr>
      <w:sz w:val="20"/>
      <w:szCs w:val="20"/>
      <w:lang w:val="de-DE" w:eastAsia="de-DE"/>
    </w:rPr>
  </w:style>
  <w:style w:type="paragraph" w:styleId="105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1" w:customStyle="1">
    <w:name w:val="font7"/>
    <w:basedOn w:val="733"/>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Char Char Char Char"/>
    <w:basedOn w:val="984"/>
    <w:uiPriority w:val="0"/>
    <w:qFormat/>
    <w:pPr>
      <w:spacing w:line="360" w:lineRule="auto"/>
    </w:pPr>
    <w:rPr>
      <w:rFonts w:ascii="Tahoma" w:hAnsi="Tahoma"/>
      <w:sz w:val="24"/>
      <w:szCs w:val="24"/>
    </w:rPr>
  </w:style>
  <w:style w:type="paragraph" w:styleId="1053" w:customStyle="1">
    <w:name w:val="列出段落"/>
    <w:basedOn w:val="733"/>
    <w:uiPriority w:val="0"/>
    <w:qFormat/>
    <w:pPr>
      <w:contextualSpacing/>
      <w:ind w:left="720"/>
      <w:jc w:val="left"/>
      <w:widowControl/>
    </w:pPr>
    <w:rPr>
      <w:rFonts w:ascii="Calibri" w:hAnsi="Calibri"/>
      <w:sz w:val="24"/>
      <w:szCs w:val="24"/>
      <w:lang w:eastAsia="en-US" w:bidi="en-US"/>
    </w:rPr>
  </w:style>
  <w:style w:type="paragraph" w:styleId="1054" w:customStyle="1">
    <w:name w:val="4"/>
    <w:basedOn w:val="733"/>
    <w:next w:val="1014"/>
    <w:uiPriority w:val="0"/>
    <w:qFormat/>
    <w:pPr>
      <w:ind w:firstLine="420"/>
      <w:spacing w:line="360" w:lineRule="auto"/>
    </w:pPr>
    <w:rPr>
      <w:color w:val="ff0000"/>
      <w:sz w:val="24"/>
      <w:szCs w:val="24"/>
    </w:rPr>
  </w:style>
  <w:style w:type="paragraph" w:styleId="1055" w:customStyle="1">
    <w:name w:val="普通 (Web)"/>
    <w:basedOn w:val="733"/>
    <w:uiPriority w:val="0"/>
    <w:qFormat/>
    <w:pPr>
      <w:jc w:val="left"/>
      <w:spacing w:before="100" w:beforeAutospacing="1" w:after="100" w:afterAutospacing="1"/>
      <w:widowControl/>
    </w:pPr>
    <w:rPr>
      <w:rFonts w:ascii="宋体" w:hAnsi="宋体"/>
      <w:sz w:val="24"/>
      <w:szCs w:val="24"/>
    </w:rPr>
  </w:style>
  <w:style w:type="paragraph" w:styleId="1056" w:customStyle="1">
    <w:name w:val="Char Char Char Char Char Char Char Char Char Char"/>
    <w:basedOn w:val="733"/>
    <w:uiPriority w:val="0"/>
    <w:qFormat/>
    <w:pPr>
      <w:spacing w:line="360" w:lineRule="auto"/>
    </w:pPr>
    <w:rPr>
      <w:sz w:val="24"/>
      <w:szCs w:val="20"/>
    </w:rPr>
  </w:style>
  <w:style w:type="paragraph" w:styleId="1057" w:customStyle="1">
    <w:name w:val="样式1"/>
    <w:basedOn w:val="733"/>
    <w:uiPriority w:val="0"/>
    <w:qFormat/>
    <w:pPr>
      <w:numPr>
        <w:ilvl w:val="0"/>
        <w:numId w:val="3"/>
      </w:numPr>
    </w:pPr>
    <w:rPr>
      <w:rFonts w:ascii="宋体" w:hAnsi="宋体"/>
      <w:szCs w:val="21"/>
    </w:rPr>
  </w:style>
  <w:style w:type="paragraph" w:styleId="1058" w:customStyle="1">
    <w:name w:val="font6"/>
    <w:basedOn w:val="733"/>
    <w:uiPriority w:val="0"/>
    <w:qFormat/>
    <w:pPr>
      <w:jc w:val="left"/>
      <w:spacing w:before="100" w:beforeAutospacing="1" w:after="100" w:afterAutospacing="1"/>
      <w:widowControl/>
    </w:pPr>
    <w:rPr>
      <w:rFonts w:hint="eastAsia" w:ascii="宋体" w:hAnsi="宋体"/>
      <w:sz w:val="28"/>
      <w:szCs w:val="28"/>
      <w:u w:val="single"/>
    </w:rPr>
  </w:style>
  <w:style w:type="paragraph" w:styleId="1059" w:customStyle="1">
    <w:name w:val="xl25"/>
    <w:basedOn w:val="73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customStyle="1">
    <w:name w:val="图标"/>
    <w:basedOn w:val="733"/>
    <w:next w:val="73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1" w:customStyle="1">
    <w:name w:val="标题3"/>
    <w:basedOn w:val="733"/>
    <w:next w:val="733"/>
    <w:uiPriority w:val="0"/>
    <w:qFormat/>
    <w:pPr>
      <w:ind w:firstLine="624"/>
      <w:spacing w:line="590" w:lineRule="atLeast"/>
    </w:pPr>
    <w:rPr>
      <w:rFonts w:ascii="方正黑体_GBK" w:eastAsia="方正黑体_GBK"/>
      <w:sz w:val="32"/>
      <w:szCs w:val="32"/>
    </w:rPr>
  </w:style>
  <w:style w:type="paragraph" w:styleId="1062" w:customStyle="1">
    <w:name w:val="xl24"/>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xl29"/>
    <w:basedOn w:val="73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customStyle="1">
    <w:name w:val="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065"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customStyle="1">
    <w:name w:val="Char Char Char Char Char Char Char Char1"/>
    <w:basedOn w:val="733"/>
    <w:uiPriority w:val="0"/>
    <w:qFormat/>
    <w:pPr>
      <w:jc w:val="left"/>
      <w:spacing w:after="160" w:line="240" w:lineRule="exact"/>
      <w:widowControl/>
    </w:pPr>
    <w:rPr>
      <w:rFonts w:ascii="Verdana" w:hAnsi="Verdana"/>
      <w:sz w:val="20"/>
      <w:szCs w:val="20"/>
      <w:lang w:eastAsia="en-US"/>
    </w:rPr>
  </w:style>
  <w:style w:type="paragraph" w:styleId="1067" w:customStyle="1">
    <w:name w:val="xl30"/>
    <w:basedOn w:val="733"/>
    <w:uiPriority w:val="0"/>
    <w:qFormat/>
    <w:pPr>
      <w:jc w:val="center"/>
      <w:spacing w:before="100" w:beforeAutospacing="1" w:after="100" w:afterAutospacing="1"/>
      <w:widowControl/>
    </w:pPr>
    <w:rPr>
      <w:rFonts w:ascii="宋体" w:hAnsi="宋体"/>
      <w:b/>
      <w:bCs/>
      <w:sz w:val="36"/>
      <w:szCs w:val="36"/>
    </w:rPr>
  </w:style>
  <w:style w:type="paragraph" w:styleId="1068" w:customStyle="1">
    <w:name w:val="Char Char Char Char1"/>
    <w:basedOn w:val="984"/>
    <w:uiPriority w:val="0"/>
    <w:qFormat/>
    <w:pPr>
      <w:spacing w:line="360" w:lineRule="auto"/>
    </w:pPr>
    <w:rPr>
      <w:rFonts w:ascii="Tahoma" w:hAnsi="Tahoma"/>
      <w:sz w:val="24"/>
      <w:szCs w:val="24"/>
    </w:rPr>
  </w:style>
  <w:style w:type="paragraph" w:styleId="1069" w:customStyle="1">
    <w:name w:val="table_1stline"/>
    <w:basedOn w:val="733"/>
    <w:uiPriority w:val="0"/>
    <w:qFormat/>
    <w:pPr>
      <w:jc w:val="left"/>
      <w:spacing w:before="120"/>
      <w:widowControl/>
    </w:pPr>
    <w:rPr>
      <w:bCs/>
      <w:sz w:val="20"/>
      <w:szCs w:val="20"/>
      <w:lang w:val="de-DE" w:eastAsia="de-DE"/>
    </w:rPr>
  </w:style>
  <w:style w:type="paragraph" w:styleId="1070" w:customStyle="1">
    <w:name w:val="font5"/>
    <w:basedOn w:val="733"/>
    <w:uiPriority w:val="0"/>
    <w:qFormat/>
    <w:pPr>
      <w:jc w:val="left"/>
      <w:spacing w:before="100" w:beforeAutospacing="1" w:after="100" w:afterAutospacing="1"/>
      <w:widowControl/>
    </w:pPr>
    <w:rPr>
      <w:rFonts w:hint="eastAsia" w:ascii="宋体" w:hAnsi="宋体"/>
      <w:sz w:val="28"/>
      <w:szCs w:val="28"/>
    </w:rPr>
  </w:style>
  <w:style w:type="paragraph" w:styleId="1071" w:customStyle="1">
    <w:name w:val="标题1"/>
    <w:basedOn w:val="733"/>
    <w:next w:val="73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customStyle="1">
    <w:name w:val="修订1"/>
    <w:uiPriority w:val="99"/>
    <w:semiHidden/>
    <w:qFormat/>
    <w:rPr>
      <w:rFonts w:ascii="Times New Roman" w:hAnsi="Times New Roman" w:eastAsia="宋体" w:cs="Times New Roman"/>
      <w:sz w:val="21"/>
      <w:szCs w:val="21"/>
      <w:lang w:val="en-US" w:eastAsia="zh-CN" w:bidi="ar-SA"/>
    </w:rPr>
  </w:style>
  <w:style w:type="paragraph" w:styleId="107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74" w:customStyle="1">
    <w:name w:val="标题 21"/>
    <w:basedOn w:val="733"/>
    <w:next w:val="733"/>
    <w:link w:val="1075"/>
    <w:uiPriority w:val="0"/>
    <w:qFormat/>
    <w:pPr>
      <w:keepLines/>
      <w:keepNext/>
      <w:spacing w:before="260" w:after="260" w:line="413" w:lineRule="auto"/>
      <w:outlineLvl w:val="1"/>
    </w:pPr>
    <w:rPr>
      <w:rFonts w:ascii="Arial" w:hAnsi="Arial" w:eastAsia="黑体"/>
      <w:b/>
      <w:sz w:val="32"/>
      <w:szCs w:val="20"/>
    </w:rPr>
  </w:style>
  <w:style w:type="character" w:styleId="1075" w:customStyle="1">
    <w:name w:val="标题 2 字符"/>
    <w:link w:val="1074"/>
    <w:uiPriority w:val="0"/>
    <w:qFormat/>
    <w:rPr>
      <w:rFonts w:ascii="Arial" w:hAnsi="Arial" w:eastAsia="黑体"/>
      <w:b/>
      <w:sz w:val="32"/>
    </w:rPr>
  </w:style>
  <w:style w:type="paragraph" w:styleId="1076" w:customStyle="1">
    <w:name w:val="批注文字1"/>
    <w:basedOn w:val="733"/>
    <w:link w:val="1077"/>
    <w:uiPriority w:val="99"/>
    <w:qFormat/>
    <w:pPr>
      <w:jc w:val="left"/>
    </w:pPr>
    <w:rPr>
      <w:szCs w:val="20"/>
    </w:rPr>
  </w:style>
  <w:style w:type="character" w:styleId="1077" w:customStyle="1">
    <w:name w:val="批注文字 字符"/>
    <w:link w:val="1076"/>
    <w:uiPriority w:val="99"/>
    <w:qFormat/>
    <w:rPr>
      <w:sz w:val="21"/>
    </w:rPr>
  </w:style>
  <w:style w:type="paragraph" w:styleId="1078"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1079"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080" w:customStyle="1">
    <w:name w:val="正文空2字"/>
    <w:basedOn w:val="73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1" w:customStyle="1">
    <w:name w:val="标题 4 字符"/>
    <w:uiPriority w:val="0"/>
    <w:qFormat/>
    <w:rPr>
      <w:rFonts w:ascii="Arial" w:hAnsi="Arial" w:eastAsia="黑体" w:cs="Arial"/>
      <w:b/>
      <w:bCs/>
      <w:sz w:val="28"/>
      <w:szCs w:val="28"/>
    </w:rPr>
  </w:style>
  <w:style w:type="paragraph" w:styleId="1082" w:customStyle="1">
    <w:name w:val="Normal_20"/>
    <w:next w:val="1083"/>
    <w:uiPriority w:val="0"/>
    <w:qFormat/>
    <w:rPr>
      <w:rFonts w:ascii="黑体" w:hAnsi="黑体" w:eastAsia="黑体" w:cs="黑体"/>
      <w:b/>
      <w:sz w:val="32"/>
      <w:szCs w:val="24"/>
      <w:lang w:val="en-US" w:eastAsia="zh-CN" w:bidi="ar-SA"/>
    </w:rPr>
  </w:style>
  <w:style w:type="paragraph" w:styleId="1083" w:customStyle="1">
    <w:name w:val="段_0"/>
    <w:next w:val="1082"/>
    <w:uiPriority w:val="0"/>
    <w:qFormat/>
    <w:pPr>
      <w:ind w:firstLine="420"/>
      <w:jc w:val="both"/>
    </w:pPr>
    <w:rPr>
      <w:rFonts w:ascii="宋体" w:hAnsi="Times New Roman" w:eastAsia="宋体" w:cs="Times New Roman"/>
      <w:sz w:val="21"/>
      <w:szCs w:val="22"/>
      <w:lang w:val="en-US" w:eastAsia="zh-CN" w:bidi="ar-SA"/>
    </w:rPr>
  </w:style>
  <w:style w:type="paragraph" w:styleId="108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85" w:customStyle="1">
    <w:name w:val="Normal_18_0"/>
    <w:uiPriority w:val="0"/>
    <w:qFormat/>
    <w:rPr>
      <w:rFonts w:ascii="黑体" w:hAnsi="黑体" w:eastAsia="黑体" w:cs="黑体"/>
      <w:b/>
      <w:sz w:val="32"/>
      <w:szCs w:val="24"/>
      <w:lang w:val="en-US" w:eastAsia="zh-CN" w:bidi="ar-SA"/>
    </w:rPr>
  </w:style>
  <w:style w:type="paragraph" w:styleId="1086" w:customStyle="1">
    <w:name w:val="正文_12_0_0_0_0"/>
    <w:basedOn w:val="733"/>
    <w:uiPriority w:val="0"/>
    <w:qFormat/>
    <w:rPr>
      <w:szCs w:val="24"/>
    </w:rPr>
  </w:style>
  <w:style w:type="paragraph" w:styleId="108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091" w:customStyle="1">
    <w:name w:val="正文_16_0_0"/>
    <w:next w:val="109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Normal_3_0"/>
    <w:uiPriority w:val="0"/>
    <w:qFormat/>
    <w:rPr>
      <w:rFonts w:ascii="黑体" w:hAnsi="黑体" w:eastAsia="黑体" w:cs="Times New Roman"/>
      <w:b/>
      <w:sz w:val="32"/>
      <w:szCs w:val="24"/>
      <w:lang w:val="en-US" w:eastAsia="zh-CN" w:bidi="ar-SA"/>
    </w:rPr>
  </w:style>
  <w:style w:type="paragraph" w:styleId="1093"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WPSOffice手动目录 1"/>
    <w:uiPriority w:val="0"/>
    <w:qFormat/>
    <w:rPr>
      <w:rFonts w:ascii="Times New Roman" w:hAnsi="Times New Roman" w:eastAsia="宋体" w:cs="Times New Roman"/>
      <w:lang w:val="en-US" w:eastAsia="zh-CN" w:bidi="ar-SA"/>
    </w:rPr>
  </w:style>
  <w:style w:type="paragraph" w:styleId="1095" w:customStyle="1">
    <w:name w:val="WPSOffice手动目录 2"/>
    <w:uiPriority w:val="0"/>
    <w:qFormat/>
    <w:rPr>
      <w:rFonts w:ascii="Times New Roman" w:hAnsi="Times New Roman" w:eastAsia="宋体" w:cs="Times New Roman"/>
      <w:lang w:val="en-US" w:eastAsia="zh-CN" w:bidi="ar-SA"/>
    </w:rPr>
  </w:style>
  <w:style w:type="character" w:styleId="1096" w:customStyle="1">
    <w:name w:val="NormalCharacter1"/>
    <w:uiPriority w:val="0"/>
    <w:qFormat/>
  </w:style>
  <w:style w:type="paragraph" w:styleId="1097" w:customStyle="1">
    <w:name w:val="Default"/>
    <w:uiPriority w:val="0"/>
    <w:qFormat/>
    <w:pPr>
      <w:widowControl w:val="off"/>
    </w:pPr>
    <w:rPr>
      <w:rFonts w:ascii="宋体" w:hAnsi="Times New Roman" w:eastAsia="宋体" w:cs="宋体"/>
      <w:color w:val="000000"/>
      <w:sz w:val="24"/>
      <w:szCs w:val="24"/>
      <w:lang w:val="en-US" w:eastAsia="zh-CN" w:bidi="ar-SA"/>
    </w:rPr>
  </w:style>
  <w:style w:type="table" w:styleId="1098" w:customStyle="1">
    <w:name w:val="Table Normal"/>
    <w:uiPriority w:val="0"/>
    <w:unhideWhenUsed/>
    <w:qFormat/>
    <w:tblPr>
      <w:tblCellMar>
        <w:left w:w="0" w:type="dxa"/>
        <w:top w:w="0" w:type="dxa"/>
        <w:right w:w="0" w:type="dxa"/>
        <w:bottom w:w="0" w:type="dxa"/>
      </w:tblCellMar>
    </w:tblPr>
  </w:style>
  <w:style w:type="paragraph" w:styleId="1099" w:customStyle="1">
    <w:name w:val="正文_0_1_0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100" w:customStyle="1">
    <w:name w:val="Normal_19"/>
    <w:uiPriority w:val="0"/>
    <w:qFormat/>
    <w:pPr>
      <w:jc w:val="both"/>
      <w:spacing w:line="360" w:lineRule="auto"/>
      <w:widowControl w:val="off"/>
    </w:pPr>
    <w:rPr>
      <w:rFonts w:ascii="Calibri" w:hAnsi="Calibri" w:eastAsia="宋体" w:cs="Times New Roman"/>
      <w:lang w:val="en-US" w:eastAsia="zh-CN" w:bidi="ar-SA"/>
    </w:rPr>
  </w:style>
  <w:style w:type="paragraph" w:styleId="1101" w:customStyle="1">
    <w:name w:val="正文_3"/>
    <w:next w:val="1102"/>
    <w:uiPriority w:val="0"/>
    <w:qFormat/>
    <w:pPr>
      <w:jc w:val="both"/>
      <w:widowControl w:val="off"/>
    </w:pPr>
    <w:rPr>
      <w:rFonts w:ascii="Times New Roman" w:hAnsi="Times New Roman" w:eastAsia="宋体" w:cs="Times New Roman"/>
      <w:sz w:val="21"/>
      <w:szCs w:val="22"/>
      <w:lang w:val="en-US" w:eastAsia="zh-CN" w:bidi="ar-SA"/>
    </w:rPr>
  </w:style>
  <w:style w:type="paragraph" w:styleId="1102" w:customStyle="1">
    <w:name w:val="正文首行缩进 2_1"/>
    <w:basedOn w:val="1103"/>
    <w:uiPriority w:val="0"/>
    <w:qFormat/>
    <w:pPr>
      <w:ind w:left="420" w:firstLine="420"/>
      <w:spacing w:before="0" w:after="120" w:line="240" w:lineRule="auto"/>
    </w:pPr>
    <w:rPr>
      <w:rFonts w:ascii="Times New Roman" w:hAnsi="Times New Roman"/>
      <w:szCs w:val="24"/>
    </w:rPr>
  </w:style>
  <w:style w:type="paragraph" w:styleId="1103" w:customStyle="1">
    <w:name w:val="正文文本缩进_1"/>
    <w:basedOn w:val="1101"/>
    <w:next w:val="1104"/>
    <w:uiPriority w:val="0"/>
    <w:unhideWhenUsed/>
    <w:qFormat/>
    <w:pPr>
      <w:ind w:firstLine="552"/>
      <w:spacing w:before="240" w:line="360" w:lineRule="auto"/>
    </w:pPr>
    <w:rPr>
      <w:rFonts w:ascii="宋体" w:hAnsi="宋体"/>
      <w:szCs w:val="20"/>
    </w:rPr>
  </w:style>
  <w:style w:type="paragraph" w:styleId="1104" w:customStyle="1">
    <w:name w:val="寄信人地址_0"/>
    <w:basedOn w:val="1101"/>
    <w:uiPriority w:val="0"/>
    <w:qFormat/>
    <w:rPr>
      <w:rFonts w:ascii="Arial" w:hAnsi="Arial" w:cs="Arial"/>
      <w:szCs w:val="24"/>
    </w:rPr>
  </w:style>
  <w:style w:type="paragraph" w:styleId="1105"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106" w:customStyle="1">
    <w:name w:val="正文1"/>
    <w:next w:val="1107"/>
    <w:uiPriority w:val="0"/>
    <w:qFormat/>
    <w:rPr>
      <w:rFonts w:ascii="Times New Roman" w:hAnsi="Times New Roman" w:eastAsia="Times New Roman" w:cs="Times New Roman"/>
      <w:sz w:val="24"/>
      <w:szCs w:val="24"/>
      <w:lang w:val="en-US" w:eastAsia="zh-CN" w:bidi="ar-SA"/>
    </w:rPr>
  </w:style>
  <w:style w:type="paragraph" w:styleId="1107" w:customStyle="1">
    <w:name w:val="正文文本缩进2"/>
    <w:basedOn w:val="755"/>
    <w:next w:val="754"/>
    <w:uiPriority w:val="0"/>
    <w:qFormat/>
    <w:pPr>
      <w:ind w:firstLine="570"/>
    </w:pPr>
    <w:rPr>
      <w:szCs w:val="24"/>
    </w:rPr>
  </w:style>
  <w:style w:type="paragraph" w:styleId="1108" w:customStyle="1">
    <w:name w:val="Normal_21"/>
    <w:uiPriority w:val="0"/>
    <w:qFormat/>
    <w:rPr>
      <w:rFonts w:ascii="Times New Roman" w:hAnsi="Times New Roman" w:eastAsia="Times New Roman" w:cs="Times New Roman"/>
      <w:sz w:val="24"/>
      <w:szCs w:val="24"/>
      <w:lang w:val="en-US" w:eastAsia="zh-CN" w:bidi="ar-SA"/>
    </w:rPr>
  </w:style>
  <w:style w:type="paragraph" w:styleId="1109" w:customStyle="1">
    <w:name w:val="Normal_22"/>
    <w:uiPriority w:val="0"/>
    <w:qFormat/>
    <w:pPr>
      <w:jc w:val="both"/>
      <w:widowControl w:val="off"/>
    </w:pPr>
    <w:rPr>
      <w:rFonts w:ascii="Calibri" w:hAnsi="Calibri" w:eastAsia="宋体" w:cs="Times New Roman"/>
      <w:sz w:val="21"/>
      <w:szCs w:val="22"/>
      <w:lang w:val="en-US" w:eastAsia="zh-CN" w:bidi="ar-SA"/>
    </w:rPr>
  </w:style>
  <w:style w:type="paragraph" w:styleId="1110" w:customStyle="1">
    <w:name w:val="List Paragraph_0"/>
    <w:basedOn w:val="808"/>
    <w:uiPriority w:val="99"/>
    <w:qFormat/>
    <w:pPr>
      <w:ind w:firstLine="420"/>
    </w:pPr>
    <w:rPr>
      <w:rFonts w:eastAsia="Times New Roman"/>
    </w:rPr>
  </w:style>
  <w:style w:type="character" w:styleId="1111" w:customStyle="1">
    <w:name w:val="font21_0"/>
    <w:uiPriority w:val="0"/>
    <w:qFormat/>
    <w:rPr>
      <w:rFonts w:ascii="Times New Roman" w:hAnsi="Times New Roman" w:eastAsia="Times New Roman"/>
      <w:color w:val="000000"/>
      <w:sz w:val="20"/>
      <w:u w:val="none"/>
    </w:rPr>
  </w:style>
  <w:style w:type="paragraph" w:styleId="1112" w:customStyle="1">
    <w:name w:val="正文_3_0_0_0_0"/>
    <w:uiPriority w:val="0"/>
    <w:qFormat/>
    <w:pPr>
      <w:jc w:val="both"/>
      <w:widowControl w:val="off"/>
    </w:pPr>
    <w:rPr>
      <w:rFonts w:ascii="Calibri" w:hAnsi="Calibri" w:eastAsia="宋体" w:cs="Times New Roman"/>
      <w:lang w:val="en-US" w:eastAsia="zh-CN" w:bidi="ar-SA"/>
    </w:rPr>
  </w:style>
  <w:style w:type="paragraph" w:styleId="1113" w:customStyle="1">
    <w:name w:val="Normal_19_0"/>
    <w:uiPriority w:val="0"/>
    <w:qFormat/>
    <w:rPr>
      <w:rFonts w:ascii="Times New Roman" w:hAnsi="Times New Roman" w:eastAsia="Times New Roman" w:cs="Times New Roman"/>
      <w:sz w:val="24"/>
      <w:szCs w:val="24"/>
      <w:lang w:val="en-US" w:eastAsia="zh-CN" w:bidi="ar-SA"/>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臧浩</cp:lastModifiedBy>
  <cp:revision>4</cp:revision>
  <dcterms:created xsi:type="dcterms:W3CDTF">2025-12-08T08:42:00Z</dcterms:created>
  <dcterms:modified xsi:type="dcterms:W3CDTF">2026-04-21T03:51:06Z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E8E7B26ECF13446F8DE6FA6FA6BE8D53_13</vt:lpwstr>
  </property>
  <property fmtid="{D5CDD505-2E9C-101B-9397-08002B2CF9AE}" pid="4" name="KSOTemplateDocerSaveRecord">
    <vt:lpwstr>eyJoZGlkIjoiYTlkMWM3Yzc2OTk4YjFjYzhmNGM0ZmEwNTE2YTgxYTkiLCJ1c2VySWQiOiIzNDQwMzc1OTQifQ==</vt:lpwstr>
  </property>
</Properties>
</file>